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0F5B" w14:textId="77777777" w:rsidR="002D27CD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4363217F" wp14:editId="4D08D922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4F94C27E" w14:textId="77777777" w:rsidR="002D27CD" w:rsidRDefault="002D27CD">
      <w:pPr>
        <w:spacing w:after="0" w:line="240" w:lineRule="auto"/>
        <w:rPr>
          <w:rFonts w:ascii="Times New Roman" w:hAnsi="Times New Roman"/>
          <w:b/>
        </w:rPr>
      </w:pPr>
    </w:p>
    <w:p w14:paraId="18F62A9A" w14:textId="77777777" w:rsidR="002D27CD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36CD182F" w14:textId="77777777" w:rsidR="002D27CD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75258C6D" w14:textId="77777777" w:rsidR="002D27CD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3C892B22" w14:textId="77777777" w:rsidR="002D27CD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Općinski načelnik</w:t>
      </w:r>
    </w:p>
    <w:p w14:paraId="754882CD" w14:textId="77777777" w:rsidR="002D27CD" w:rsidRDefault="002D27C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9CEEF4D" w14:textId="77777777" w:rsidR="002D27CD" w:rsidRDefault="002D27C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2BF4E7E" w14:textId="77777777" w:rsidR="002D27CD" w:rsidRDefault="00000000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KLASA: 400-02/24-01/3</w:t>
      </w:r>
    </w:p>
    <w:p w14:paraId="5032F271" w14:textId="77777777" w:rsidR="002D27CD" w:rsidRDefault="00000000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URBROJ: </w:t>
      </w:r>
      <w:r>
        <w:rPr>
          <w:rFonts w:ascii="Arial" w:hAnsi="Arial"/>
          <w:noProof/>
          <w:sz w:val="20"/>
        </w:rPr>
        <w:t>2140-14-03-24-1</w:t>
      </w:r>
    </w:p>
    <w:p w14:paraId="4D8BBB82" w14:textId="77777777" w:rsidR="002D27CD" w:rsidRDefault="00000000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t>Hum na Sutli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noProof/>
          <w:sz w:val="20"/>
        </w:rPr>
        <w:t xml:space="preserve">10. srpnja </w:t>
      </w:r>
      <w:r>
        <w:rPr>
          <w:rFonts w:ascii="Arial" w:hAnsi="Arial"/>
          <w:sz w:val="20"/>
        </w:rPr>
        <w:t>2024.</w:t>
      </w:r>
    </w:p>
    <w:p w14:paraId="04A537A2" w14:textId="77777777" w:rsidR="002D27CD" w:rsidRDefault="002D27CD">
      <w:pPr>
        <w:spacing w:after="0" w:line="240" w:lineRule="auto"/>
        <w:rPr>
          <w:rFonts w:ascii="Times New Roman" w:hAnsi="Times New Roman"/>
          <w:sz w:val="24"/>
        </w:rPr>
      </w:pPr>
    </w:p>
    <w:p w14:paraId="5153E751" w14:textId="77777777" w:rsidR="002D27CD" w:rsidRDefault="002D27CD">
      <w:pPr>
        <w:spacing w:after="0" w:line="240" w:lineRule="auto"/>
        <w:rPr>
          <w:rFonts w:ascii="Times New Roman" w:hAnsi="Times New Roman"/>
          <w:sz w:val="24"/>
        </w:rPr>
      </w:pPr>
    </w:p>
    <w:p w14:paraId="1ADDE160" w14:textId="77777777" w:rsidR="002D27C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Arial" w:hAnsi="Arial"/>
          <w:b/>
        </w:rPr>
        <w:t>OPĆINA HUM NA SUTLI</w:t>
      </w:r>
    </w:p>
    <w:p w14:paraId="4D1BD646" w14:textId="77777777" w:rsidR="002D27C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Arial" w:hAnsi="Arial"/>
          <w:b/>
        </w:rPr>
        <w:t>HUM NA SUTLI 175 , 49231 HUM NA SUTLI</w:t>
      </w:r>
    </w:p>
    <w:p w14:paraId="3FF81053" w14:textId="77777777" w:rsidR="002D27C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Arial" w:hAnsi="Arial"/>
          <w:b/>
        </w:rPr>
        <w:t>ŠIFRA ŽUPANIJE: 02</w:t>
      </w:r>
    </w:p>
    <w:p w14:paraId="2A971246" w14:textId="77777777" w:rsidR="002D27C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Arial" w:hAnsi="Arial"/>
          <w:b/>
        </w:rPr>
        <w:t>ŠIFRA OPĆINE: 152</w:t>
      </w:r>
    </w:p>
    <w:p w14:paraId="00A4E445" w14:textId="77777777" w:rsidR="002D27C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Arial" w:hAnsi="Arial"/>
          <w:b/>
        </w:rPr>
        <w:t>IBAN: HR3123600001815200000</w:t>
      </w:r>
    </w:p>
    <w:p w14:paraId="50D5E091" w14:textId="77777777" w:rsidR="002D27C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Arial" w:hAnsi="Arial"/>
          <w:b/>
        </w:rPr>
        <w:t>RKP: 28372</w:t>
      </w:r>
    </w:p>
    <w:p w14:paraId="3814E8AE" w14:textId="77777777" w:rsidR="002D27C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Arial" w:hAnsi="Arial"/>
          <w:b/>
        </w:rPr>
        <w:t>MATIČNI BROJ: 02621223</w:t>
      </w:r>
    </w:p>
    <w:p w14:paraId="152F1D87" w14:textId="77777777" w:rsidR="002D27C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Arial" w:hAnsi="Arial"/>
          <w:b/>
        </w:rPr>
        <w:t>OIB:61743726362</w:t>
      </w:r>
    </w:p>
    <w:p w14:paraId="4B8C6E01" w14:textId="77777777" w:rsidR="002D27C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Arial" w:hAnsi="Arial"/>
          <w:b/>
        </w:rPr>
        <w:t>ŠIFRA DJELATNOSTI: 8411</w:t>
      </w:r>
    </w:p>
    <w:p w14:paraId="6564EB69" w14:textId="77777777" w:rsidR="002D27C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Arial" w:hAnsi="Arial"/>
          <w:b/>
        </w:rPr>
        <w:t>RAZINA: 22</w:t>
      </w:r>
    </w:p>
    <w:p w14:paraId="6BA80D2F" w14:textId="77777777" w:rsidR="002D27CD" w:rsidRDefault="00000000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RAZDOBLJE: 01.01.2024.- 30.06.2024.</w:t>
      </w:r>
    </w:p>
    <w:p w14:paraId="290EAF73" w14:textId="77777777" w:rsidR="002D27CD" w:rsidRDefault="002D27CD">
      <w:pPr>
        <w:spacing w:after="0" w:line="240" w:lineRule="auto"/>
        <w:rPr>
          <w:rFonts w:ascii="Arial" w:hAnsi="Arial"/>
          <w:b/>
        </w:rPr>
      </w:pPr>
    </w:p>
    <w:p w14:paraId="336D8D7E" w14:textId="77777777" w:rsidR="002D27CD" w:rsidRDefault="002D27CD">
      <w:pPr>
        <w:spacing w:after="0" w:line="240" w:lineRule="auto"/>
        <w:rPr>
          <w:rFonts w:ascii="Arial" w:hAnsi="Arial"/>
        </w:rPr>
      </w:pPr>
    </w:p>
    <w:p w14:paraId="0CD9F5E4" w14:textId="77777777" w:rsidR="002D27CD" w:rsidRDefault="00000000">
      <w:pPr>
        <w:spacing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Bilješke uz  polugodišnje financijske izvještaje općine Hum na Sutli</w:t>
      </w:r>
    </w:p>
    <w:p w14:paraId="20BADA83" w14:textId="77777777" w:rsidR="002D27CD" w:rsidRDefault="00000000" w:rsidP="00FA799D">
      <w:pPr>
        <w:spacing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 RAZINA 22 -</w:t>
      </w:r>
    </w:p>
    <w:p w14:paraId="3B5D8D49" w14:textId="77777777" w:rsidR="002D27CD" w:rsidRDefault="002D27CD">
      <w:pPr>
        <w:spacing w:line="240" w:lineRule="auto"/>
        <w:ind w:hanging="141"/>
        <w:jc w:val="both"/>
        <w:rPr>
          <w:rFonts w:ascii="Arial" w:hAnsi="Arial"/>
        </w:rPr>
      </w:pPr>
    </w:p>
    <w:p w14:paraId="0F01FE1E" w14:textId="77777777" w:rsidR="002D27CD" w:rsidRDefault="00000000">
      <w:pPr>
        <w:spacing w:after="0" w:line="240" w:lineRule="auto"/>
        <w:ind w:left="360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IZVJEŠTAJ PR-RAS </w:t>
      </w:r>
    </w:p>
    <w:p w14:paraId="5A7E7B25" w14:textId="77777777" w:rsidR="002D27CD" w:rsidRDefault="00000000">
      <w:pPr>
        <w:spacing w:after="0" w:line="240" w:lineRule="auto"/>
        <w:ind w:left="360"/>
        <w:jc w:val="center"/>
        <w:rPr>
          <w:rFonts w:ascii="Arial" w:hAnsi="Arial"/>
        </w:rPr>
      </w:pPr>
      <w:r>
        <w:rPr>
          <w:rFonts w:ascii="Arial" w:hAnsi="Arial"/>
          <w:b/>
        </w:rPr>
        <w:t>za razdoblje 01.01.2024. - 30.06.2024.</w:t>
      </w:r>
    </w:p>
    <w:p w14:paraId="414727C3" w14:textId="77777777" w:rsidR="002D27CD" w:rsidRDefault="00000000">
      <w:pPr>
        <w:spacing w:after="0" w:line="240" w:lineRule="auto"/>
        <w:ind w:left="360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</w:p>
    <w:p w14:paraId="61CD3E34" w14:textId="77777777" w:rsidR="002D27CD" w:rsidRDefault="00000000">
      <w:pPr>
        <w:spacing w:after="0" w:line="240" w:lineRule="auto"/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(bilješke od br. 1 do br. 8)</w:t>
      </w:r>
    </w:p>
    <w:p w14:paraId="19D82CFB" w14:textId="77777777" w:rsidR="002D27CD" w:rsidRDefault="002D27CD">
      <w:pPr>
        <w:spacing w:after="0" w:line="240" w:lineRule="auto"/>
        <w:ind w:left="360"/>
        <w:jc w:val="center"/>
        <w:rPr>
          <w:rFonts w:ascii="Arial" w:hAnsi="Arial"/>
          <w:b/>
        </w:rPr>
      </w:pPr>
    </w:p>
    <w:p w14:paraId="154255BB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1</w:t>
      </w:r>
    </w:p>
    <w:p w14:paraId="2CDF916B" w14:textId="77777777" w:rsidR="002D27CD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611</w:t>
      </w:r>
      <w:r>
        <w:rPr>
          <w:rFonts w:ascii="Arial" w:hAnsi="Arial"/>
        </w:rPr>
        <w:t xml:space="preserve"> odnosi se na porezne prihode koji su raspoređeni prema Uputama Ministarstva financija o evidentiranju prihoda od poreza na dohodak, a prema zaprimljenom Izvještaju o vlastitim prihodima i primicima državnog, županijskih i gradskih/općinskih proračuna dostavljenog od FINA-e za razdoblje od 01. siječanj do 30. lipnja.</w:t>
      </w:r>
    </w:p>
    <w:p w14:paraId="17DA8F57" w14:textId="77777777" w:rsidR="002D27CD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36B9AB70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2</w:t>
      </w:r>
    </w:p>
    <w:p w14:paraId="0BF2AF53" w14:textId="77777777" w:rsidR="002D27CD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Račun iz Računskog plana 633</w:t>
      </w:r>
      <w:r>
        <w:rPr>
          <w:rFonts w:ascii="Arial" w:hAnsi="Arial"/>
          <w:i/>
        </w:rPr>
        <w:t xml:space="preserve"> 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u izvještajnom razdoblju prethodne godine</w:t>
      </w:r>
      <w:r>
        <w:rPr>
          <w:rFonts w:ascii="Arial" w:hAnsi="Arial"/>
        </w:rPr>
        <w:t xml:space="preserve"> odnosi se na:</w:t>
      </w:r>
    </w:p>
    <w:p w14:paraId="783CA923" w14:textId="77777777" w:rsidR="002D27CD" w:rsidRDefault="00000000">
      <w:pPr>
        <w:spacing w:after="0" w:line="240" w:lineRule="auto"/>
        <w:ind w:left="426"/>
        <w:jc w:val="both"/>
        <w:rPr>
          <w:rFonts w:ascii="Arial" w:hAnsi="Arial"/>
        </w:rPr>
      </w:pPr>
      <w:r>
        <w:rPr>
          <w:rFonts w:ascii="Arial" w:hAnsi="Arial"/>
        </w:rPr>
        <w:t xml:space="preserve"> - prihod iz Državnog proračuna - Ministarstvo mora, prometa i infrastrukture u iznosu od 90.417,69 eura s osnove Ugovora o sufinanciranju sanacije klizišta iz FSEU (</w:t>
      </w:r>
      <w:r>
        <w:rPr>
          <w:rFonts w:ascii="Arial" w:hAnsi="Arial"/>
          <w:i/>
        </w:rPr>
        <w:t>Račun iz Računskog plana 6332</w:t>
      </w:r>
      <w:r>
        <w:rPr>
          <w:rFonts w:ascii="Arial" w:hAnsi="Arial"/>
        </w:rPr>
        <w:t>),</w:t>
      </w:r>
    </w:p>
    <w:p w14:paraId="4A31A770" w14:textId="77777777" w:rsidR="002D27CD" w:rsidRDefault="00000000">
      <w:pPr>
        <w:spacing w:after="0" w:line="240" w:lineRule="auto"/>
        <w:ind w:left="426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- prihod iz proračuna Krapinsko - zagorske županije u iznosu od 643.599,90 eura prema Ugovoru o doznačavanju sredstava pomoći za ublažavanje i djelomično uklanjanje posljedica prirodne nepogode tuča iz svibnja 2022. godine, nastalih na komunalnoj i društvenoj infrastrukturi i stambenoj imovine Općine Hum na Sutli </w:t>
      </w:r>
      <w:r>
        <w:rPr>
          <w:rFonts w:ascii="Arial" w:hAnsi="Arial"/>
          <w:i/>
        </w:rPr>
        <w:t>Račun iz Računskog plana 6332</w:t>
      </w:r>
      <w:r>
        <w:rPr>
          <w:rFonts w:ascii="Arial" w:hAnsi="Arial"/>
        </w:rPr>
        <w:t>),</w:t>
      </w:r>
    </w:p>
    <w:p w14:paraId="6DF15A1D" w14:textId="77777777" w:rsidR="002D27CD" w:rsidRDefault="00000000">
      <w:pPr>
        <w:spacing w:after="0" w:line="240" w:lineRule="auto"/>
        <w:ind w:left="426"/>
        <w:jc w:val="both"/>
        <w:rPr>
          <w:rFonts w:ascii="Arial" w:hAnsi="Arial"/>
        </w:rPr>
      </w:pPr>
      <w:r>
        <w:rPr>
          <w:rFonts w:ascii="Arial" w:hAnsi="Arial"/>
        </w:rPr>
        <w:t>- prihod iz proračuna Krapinsko - zagorske županije u iznosu od 1.208.900,58 eura prema Ugovoru o dodjeli bespovratnih financijskih sredstava za financiranje operacije iz Fonda solidarnosti EU iz Poziva „</w:t>
      </w:r>
      <w:r>
        <w:rPr>
          <w:rFonts w:ascii="Arial" w:hAnsi="Arial"/>
          <w:i/>
        </w:rPr>
        <w:t>Vraćanje u ispravno radno stanje infrastrukture i pogona u području prijevoza oštećenih u potresu na području Krapinsko- zagorske županije“</w:t>
      </w:r>
      <w:r>
        <w:rPr>
          <w:rFonts w:ascii="Arial" w:hAnsi="Arial"/>
        </w:rPr>
        <w:t xml:space="preserve">  - izvor financiranja FSEU (</w:t>
      </w:r>
      <w:r>
        <w:rPr>
          <w:rFonts w:ascii="Arial" w:hAnsi="Arial"/>
          <w:i/>
        </w:rPr>
        <w:t>Račun iz Računskog plana 6332</w:t>
      </w:r>
      <w:r>
        <w:rPr>
          <w:rFonts w:ascii="Arial" w:hAnsi="Arial"/>
        </w:rPr>
        <w:t>),</w:t>
      </w:r>
    </w:p>
    <w:p w14:paraId="5F1AEFFD" w14:textId="77777777" w:rsidR="002D27CD" w:rsidRDefault="00000000">
      <w:pPr>
        <w:spacing w:after="0" w:line="240" w:lineRule="auto"/>
        <w:ind w:left="426"/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- prihod iz proračuna Krapinsko - zagorske županije u iznosu od 321.765,84 eura prema Jednostavnoj izravnoj dodijeli za sanaciju nerazvrstanih cesta oštećenih u potresu na području općine Hum na Sutli - izvor financiranja FSEU </w:t>
      </w:r>
      <w:r>
        <w:rPr>
          <w:rFonts w:ascii="Arial" w:hAnsi="Arial"/>
          <w:i/>
        </w:rPr>
        <w:t>(Račun iz Računskog plana 6332).</w:t>
      </w:r>
    </w:p>
    <w:p w14:paraId="277594A7" w14:textId="77777777" w:rsidR="002D27CD" w:rsidRDefault="002D27CD">
      <w:pPr>
        <w:spacing w:after="0" w:line="240" w:lineRule="auto"/>
        <w:ind w:left="426"/>
        <w:jc w:val="both"/>
        <w:rPr>
          <w:rFonts w:ascii="Arial" w:hAnsi="Arial"/>
        </w:rPr>
      </w:pPr>
    </w:p>
    <w:p w14:paraId="64D4990B" w14:textId="77777777" w:rsidR="002D27CD" w:rsidRPr="00C14515" w:rsidRDefault="00000000" w:rsidP="00C14515">
      <w:pPr>
        <w:pStyle w:val="Bezproreda"/>
        <w:ind w:firstLine="426"/>
        <w:rPr>
          <w:rFonts w:ascii="Arial" w:hAnsi="Arial" w:cs="Arial"/>
        </w:rPr>
      </w:pPr>
      <w:r w:rsidRPr="00C14515">
        <w:rPr>
          <w:rFonts w:ascii="Arial" w:hAnsi="Arial" w:cs="Arial"/>
          <w:u w:val="single"/>
        </w:rPr>
        <w:t>Račun iz Računskog plana 633</w:t>
      </w:r>
      <w:r w:rsidRPr="00C14515">
        <w:rPr>
          <w:rFonts w:ascii="Arial" w:hAnsi="Arial" w:cs="Arial"/>
        </w:rPr>
        <w:t xml:space="preserve"> </w:t>
      </w:r>
      <w:r w:rsidRPr="00C14515">
        <w:rPr>
          <w:rFonts w:ascii="Arial" w:hAnsi="Arial" w:cs="Arial"/>
          <w:i/>
        </w:rPr>
        <w:t>ostvareno u tekućem izvještajnom razdoblju</w:t>
      </w:r>
      <w:r w:rsidRPr="00C14515">
        <w:rPr>
          <w:rFonts w:ascii="Arial" w:hAnsi="Arial" w:cs="Arial"/>
        </w:rPr>
        <w:t xml:space="preserve"> odnosi se na:</w:t>
      </w:r>
    </w:p>
    <w:p w14:paraId="4B0014AF" w14:textId="42AF1F61" w:rsidR="002D27CD" w:rsidRPr="00C14515" w:rsidRDefault="00000000" w:rsidP="00C14515">
      <w:pPr>
        <w:pStyle w:val="Bezproreda"/>
        <w:ind w:left="426"/>
        <w:rPr>
          <w:rFonts w:ascii="Arial" w:hAnsi="Arial" w:cs="Arial"/>
        </w:rPr>
      </w:pPr>
      <w:r w:rsidRPr="00C14515">
        <w:rPr>
          <w:rFonts w:ascii="Arial" w:hAnsi="Arial" w:cs="Arial"/>
        </w:rPr>
        <w:t xml:space="preserve">- prihod iz Državnog proračuna - </w:t>
      </w:r>
      <w:r w:rsidRPr="00C14515">
        <w:rPr>
          <w:rFonts w:ascii="Arial" w:hAnsi="Arial" w:cs="Arial"/>
          <w:color w:val="000000"/>
        </w:rPr>
        <w:t xml:space="preserve">sredstava za fiskalnu održivost dječjih vrtića za pedagošku godinu 2023./2024. u iznosu od 61.734,00 eura </w:t>
      </w:r>
      <w:r w:rsidRPr="00C14515">
        <w:rPr>
          <w:rFonts w:ascii="Arial" w:hAnsi="Arial" w:cs="Arial"/>
        </w:rPr>
        <w:t>(</w:t>
      </w:r>
      <w:r w:rsidRPr="00C14515">
        <w:rPr>
          <w:rFonts w:ascii="Arial" w:hAnsi="Arial" w:cs="Arial"/>
          <w:i/>
        </w:rPr>
        <w:t>Račun iz Računskog plana 6331</w:t>
      </w:r>
      <w:r w:rsidRPr="00C14515">
        <w:rPr>
          <w:rFonts w:ascii="Arial" w:hAnsi="Arial" w:cs="Arial"/>
        </w:rPr>
        <w:t>).</w:t>
      </w:r>
    </w:p>
    <w:p w14:paraId="5D2667AC" w14:textId="77777777" w:rsidR="002D27CD" w:rsidRDefault="00000000">
      <w:pPr>
        <w:spacing w:line="240" w:lineRule="auto"/>
        <w:ind w:left="426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564131E" w14:textId="77777777" w:rsidR="002D27CD" w:rsidRPr="00C14515" w:rsidRDefault="00000000" w:rsidP="00C14515">
      <w:pPr>
        <w:pStyle w:val="Bezproreda"/>
        <w:ind w:firstLine="426"/>
        <w:rPr>
          <w:rFonts w:ascii="Arial" w:hAnsi="Arial" w:cs="Arial"/>
        </w:rPr>
      </w:pPr>
      <w:r w:rsidRPr="00C14515">
        <w:rPr>
          <w:rFonts w:ascii="Arial" w:hAnsi="Arial" w:cs="Arial"/>
          <w:u w:val="single"/>
        </w:rPr>
        <w:t>Račun iz Računskog plana 634</w:t>
      </w:r>
      <w:r w:rsidRPr="00C14515">
        <w:rPr>
          <w:rFonts w:ascii="Arial" w:hAnsi="Arial" w:cs="Arial"/>
        </w:rPr>
        <w:t xml:space="preserve"> </w:t>
      </w:r>
      <w:r w:rsidRPr="00C14515">
        <w:rPr>
          <w:rFonts w:ascii="Arial" w:hAnsi="Arial" w:cs="Arial"/>
          <w:i/>
        </w:rPr>
        <w:t>ostvareno u tekućem izvještajnom razdoblju</w:t>
      </w:r>
      <w:r w:rsidRPr="00C14515">
        <w:rPr>
          <w:rFonts w:ascii="Arial" w:hAnsi="Arial" w:cs="Arial"/>
        </w:rPr>
        <w:t xml:space="preserve"> odnosi se na:</w:t>
      </w:r>
    </w:p>
    <w:p w14:paraId="0B3E3361" w14:textId="77777777" w:rsidR="002D27CD" w:rsidRPr="00C14515" w:rsidRDefault="00000000" w:rsidP="00C14515">
      <w:pPr>
        <w:pStyle w:val="Bezproreda"/>
        <w:ind w:left="426"/>
        <w:rPr>
          <w:rFonts w:ascii="Arial" w:hAnsi="Arial" w:cs="Arial"/>
        </w:rPr>
      </w:pPr>
      <w:r w:rsidRPr="00C14515">
        <w:rPr>
          <w:rFonts w:ascii="Arial" w:hAnsi="Arial" w:cs="Arial"/>
        </w:rPr>
        <w:t xml:space="preserve">- prihod od Hrvatskih cesta - </w:t>
      </w:r>
      <w:r w:rsidRPr="00C14515">
        <w:rPr>
          <w:rFonts w:ascii="Arial" w:hAnsi="Arial" w:cs="Arial"/>
          <w:color w:val="000000"/>
        </w:rPr>
        <w:t xml:space="preserve">sufinanciranje troškova zimske službe  1-12/2023 </w:t>
      </w:r>
      <w:r w:rsidRPr="00C14515">
        <w:rPr>
          <w:rFonts w:ascii="Arial" w:hAnsi="Arial" w:cs="Arial"/>
        </w:rPr>
        <w:t>(</w:t>
      </w:r>
      <w:r w:rsidRPr="00C14515">
        <w:rPr>
          <w:rFonts w:ascii="Arial" w:hAnsi="Arial" w:cs="Arial"/>
          <w:i/>
        </w:rPr>
        <w:t>Račun iz Računskog plana 6341</w:t>
      </w:r>
      <w:r w:rsidRPr="00C14515">
        <w:rPr>
          <w:rFonts w:ascii="Arial" w:hAnsi="Arial" w:cs="Arial"/>
        </w:rPr>
        <w:t>).</w:t>
      </w:r>
    </w:p>
    <w:p w14:paraId="6C45BCAB" w14:textId="77777777" w:rsidR="002D27CD" w:rsidRDefault="002D27CD">
      <w:pPr>
        <w:spacing w:after="0" w:line="240" w:lineRule="auto"/>
        <w:ind w:left="426"/>
        <w:jc w:val="both"/>
        <w:rPr>
          <w:rFonts w:ascii="Arial" w:hAnsi="Arial"/>
        </w:rPr>
      </w:pPr>
    </w:p>
    <w:p w14:paraId="4A63E14F" w14:textId="77777777" w:rsidR="002D27CD" w:rsidRDefault="00000000">
      <w:pPr>
        <w:spacing w:after="0" w:line="240" w:lineRule="auto"/>
        <w:ind w:left="426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4C770D5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Bilješka br.3</w:t>
      </w:r>
    </w:p>
    <w:p w14:paraId="2240931E" w14:textId="77777777" w:rsidR="002D27CD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65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u izvještajnom razdoblju prethodne godine </w:t>
      </w:r>
      <w:r>
        <w:rPr>
          <w:rFonts w:ascii="Arial" w:hAnsi="Arial"/>
        </w:rPr>
        <w:t>odnosi se na ukupne prihode: Upravne pristojbe i naknade ostvarene u iznosu 2,45 eura (</w:t>
      </w:r>
      <w:r>
        <w:rPr>
          <w:rFonts w:ascii="Arial" w:hAnsi="Arial"/>
          <w:i/>
        </w:rPr>
        <w:t>Šifra 6513</w:t>
      </w:r>
      <w:r>
        <w:rPr>
          <w:rFonts w:ascii="Arial" w:hAnsi="Arial"/>
        </w:rPr>
        <w:t xml:space="preserve">), prihod od vodnog doprinosa u iznosu od 796,70 eura </w:t>
      </w:r>
      <w:r>
        <w:rPr>
          <w:rFonts w:ascii="Arial" w:hAnsi="Arial"/>
          <w:i/>
        </w:rPr>
        <w:t xml:space="preserve">(Šifra 6522), </w:t>
      </w:r>
      <w:r>
        <w:rPr>
          <w:rFonts w:ascii="Arial" w:hAnsi="Arial"/>
        </w:rPr>
        <w:t>doprinosa za šume u iznosu od 1.398,28 (</w:t>
      </w:r>
      <w:r>
        <w:rPr>
          <w:rFonts w:ascii="Arial" w:hAnsi="Arial"/>
          <w:i/>
        </w:rPr>
        <w:t xml:space="preserve">Šifra 6524), </w:t>
      </w:r>
      <w:r>
        <w:rPr>
          <w:rFonts w:ascii="Arial" w:hAnsi="Arial"/>
        </w:rPr>
        <w:t>te komunalna naknada ostvarena u iznosu od 210.616,65 eura (</w:t>
      </w:r>
      <w:r>
        <w:rPr>
          <w:rFonts w:ascii="Arial" w:hAnsi="Arial"/>
          <w:i/>
        </w:rPr>
        <w:t>Šifra 6532).</w:t>
      </w:r>
    </w:p>
    <w:p w14:paraId="2258A391" w14:textId="77777777" w:rsidR="002D27CD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65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 u tekućem izvještajnom razdoblju</w:t>
      </w:r>
      <w:r>
        <w:rPr>
          <w:rFonts w:ascii="Arial" w:hAnsi="Arial"/>
        </w:rPr>
        <w:t xml:space="preserve"> odnosi se na ukupne prihode: prihod od vodnog doprinosa u iznosu od 79,91 eura </w:t>
      </w:r>
      <w:r>
        <w:rPr>
          <w:rFonts w:ascii="Arial" w:hAnsi="Arial"/>
          <w:i/>
        </w:rPr>
        <w:t xml:space="preserve">(Šifra 6522), </w:t>
      </w:r>
      <w:r>
        <w:rPr>
          <w:rFonts w:ascii="Arial" w:hAnsi="Arial"/>
        </w:rPr>
        <w:t>doprinosa za šume u iznosu od 7,80 (</w:t>
      </w:r>
      <w:r>
        <w:rPr>
          <w:rFonts w:ascii="Arial" w:hAnsi="Arial"/>
          <w:i/>
        </w:rPr>
        <w:t xml:space="preserve">Šifra 6524), </w:t>
      </w:r>
      <w:r>
        <w:rPr>
          <w:rFonts w:ascii="Arial" w:hAnsi="Arial"/>
        </w:rPr>
        <w:t>te komunalna naknada ostvarena u iznosu od 209.299,47 eura (</w:t>
      </w:r>
      <w:r>
        <w:rPr>
          <w:rFonts w:ascii="Arial" w:hAnsi="Arial"/>
          <w:i/>
        </w:rPr>
        <w:t>Šifra 6532).</w:t>
      </w:r>
    </w:p>
    <w:p w14:paraId="3D87B7F6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1AA91A62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Bilješka br.4</w:t>
      </w:r>
    </w:p>
    <w:p w14:paraId="6465D60D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32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u izvještajnom razdoblju prethodne godine</w:t>
      </w:r>
      <w:r>
        <w:rPr>
          <w:rFonts w:ascii="Arial" w:hAnsi="Arial"/>
        </w:rPr>
        <w:t xml:space="preserve"> realiziran je u ukupnom iznosu od  2.387.129,94 eura</w:t>
      </w:r>
      <w:r>
        <w:rPr>
          <w:rFonts w:ascii="Arial" w:hAnsi="Arial"/>
          <w:i/>
        </w:rPr>
        <w:t xml:space="preserve"> </w:t>
      </w:r>
    </w:p>
    <w:p w14:paraId="31D19042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32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 u tekućem izvještajnom razdoblju</w:t>
      </w:r>
      <w:r>
        <w:rPr>
          <w:rFonts w:ascii="Arial" w:hAnsi="Arial"/>
        </w:rPr>
        <w:t xml:space="preserve"> realiziran je u ukupnom iznosu od 414.438,21 eura.</w:t>
      </w:r>
    </w:p>
    <w:p w14:paraId="4F97FE28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u w:val="single"/>
        </w:rPr>
        <w:t>Povećanje</w:t>
      </w:r>
      <w:r>
        <w:rPr>
          <w:rFonts w:ascii="Arial" w:hAnsi="Arial"/>
        </w:rPr>
        <w:t xml:space="preserve"> realizacije </w:t>
      </w:r>
      <w:r>
        <w:rPr>
          <w:rFonts w:ascii="Arial" w:hAnsi="Arial"/>
          <w:i/>
        </w:rPr>
        <w:t>izvještajnog razdoblja prethodne godine</w:t>
      </w:r>
      <w:r>
        <w:rPr>
          <w:rFonts w:ascii="Arial" w:hAnsi="Arial"/>
        </w:rPr>
        <w:t xml:space="preserve"> na </w:t>
      </w:r>
      <w:r>
        <w:rPr>
          <w:rFonts w:ascii="Arial" w:hAnsi="Arial"/>
          <w:i/>
        </w:rPr>
        <w:t xml:space="preserve">Računu iz Računskog plana </w:t>
      </w:r>
      <w:r>
        <w:rPr>
          <w:rFonts w:ascii="Arial" w:hAnsi="Arial"/>
          <w:u w:val="single"/>
        </w:rPr>
        <w:t>3232</w:t>
      </w:r>
      <w:r>
        <w:rPr>
          <w:rFonts w:ascii="Arial" w:hAnsi="Arial"/>
        </w:rPr>
        <w:t xml:space="preserve"> proizašlo je zbog odvijanja sanacija nerazvrstanih cesta i sanacije nestabilnih Pokosa financiranih iz Fonda solidarnosti EU - ukupni rashodi realizacija navedenih aktivnosti iznosio je 1.820.570,57 eura za sanaciju cesta, te iznos od 258.868,30 eura za sanaciju klizišta.</w:t>
      </w:r>
    </w:p>
    <w:p w14:paraId="14FE17A1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Ostale aktivnosti tekućeg i investicijskog održavanja na razini su prošlogodišnjeg ostvarenja.</w:t>
      </w:r>
    </w:p>
    <w:p w14:paraId="72DD3FD2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2CE64E4E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5</w:t>
      </w:r>
    </w:p>
    <w:p w14:paraId="1A56D949" w14:textId="77777777" w:rsidR="002D27CD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367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u izvještajnom razdoblju prethodne godine </w:t>
      </w:r>
      <w:r>
        <w:rPr>
          <w:rFonts w:ascii="Arial" w:hAnsi="Arial"/>
        </w:rPr>
        <w:t>odnosi se na prijenos sredstva proračunskim korisnicima općinskog proračuna za financiranje redovite djelatnosti kako slijedi:</w:t>
      </w:r>
    </w:p>
    <w:p w14:paraId="10DA7BEC" w14:textId="77777777" w:rsidR="002D27CD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Dječji vrtić „Balončica“:</w:t>
      </w:r>
    </w:p>
    <w:tbl>
      <w:tblPr>
        <w:tblW w:w="7327" w:type="dxa"/>
        <w:tblLook w:val="04A0" w:firstRow="1" w:lastRow="0" w:firstColumn="1" w:lastColumn="0" w:noHBand="0" w:noVBand="1"/>
      </w:tblPr>
      <w:tblGrid>
        <w:gridCol w:w="5353"/>
        <w:gridCol w:w="1974"/>
      </w:tblGrid>
      <w:tr w:rsidR="002D27CD" w14:paraId="07C6087E" w14:textId="77777777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BB44" w14:textId="77777777" w:rsidR="002D27CD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Rashodi za redovan rad dječjeg vrtića </w:t>
            </w:r>
            <w:proofErr w:type="spellStart"/>
            <w:r>
              <w:rPr>
                <w:rFonts w:ascii="Arial" w:hAnsi="Arial"/>
              </w:rPr>
              <w:t>Baločica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9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F1D2" w14:textId="77777777" w:rsidR="002D27CD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164.426,66 eura</w:t>
            </w:r>
          </w:p>
        </w:tc>
      </w:tr>
      <w:tr w:rsidR="002D27CD" w14:paraId="241C4F2C" w14:textId="77777777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7F45" w14:textId="77777777" w:rsidR="002D27CD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Financiranje male škole</w:t>
            </w:r>
          </w:p>
        </w:tc>
        <w:tc>
          <w:tcPr>
            <w:tcW w:w="197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6E6D" w14:textId="77777777" w:rsidR="002D27CD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869,75 eura</w:t>
            </w:r>
          </w:p>
        </w:tc>
      </w:tr>
      <w:tr w:rsidR="002D27CD" w14:paraId="5053F7E1" w14:textId="77777777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2353" w14:textId="77777777" w:rsidR="002D27CD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Pokriće prenesenog Manjka prihoda</w:t>
            </w:r>
          </w:p>
        </w:tc>
        <w:tc>
          <w:tcPr>
            <w:tcW w:w="197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06EA" w14:textId="77777777" w:rsidR="002D27CD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28.808,33 eura</w:t>
            </w:r>
          </w:p>
        </w:tc>
      </w:tr>
      <w:tr w:rsidR="002D27CD" w14:paraId="16EC66A0" w14:textId="77777777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4768" w14:textId="77777777" w:rsidR="002D27CD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UKUPNO:</w:t>
            </w:r>
          </w:p>
        </w:tc>
        <w:tc>
          <w:tcPr>
            <w:tcW w:w="197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445D" w14:textId="77777777" w:rsidR="002D27CD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194.104,74 eura</w:t>
            </w:r>
          </w:p>
        </w:tc>
      </w:tr>
    </w:tbl>
    <w:p w14:paraId="0629BC81" w14:textId="77777777" w:rsidR="002D27CD" w:rsidRDefault="002D27CD">
      <w:pPr>
        <w:spacing w:after="0" w:line="240" w:lineRule="auto"/>
        <w:ind w:firstLine="708"/>
        <w:jc w:val="both"/>
        <w:rPr>
          <w:rFonts w:ascii="Arial" w:hAnsi="Arial"/>
        </w:rPr>
      </w:pPr>
    </w:p>
    <w:p w14:paraId="0A315312" w14:textId="77777777" w:rsidR="002D27CD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Narodna knjižnica Hum na Sutli:</w:t>
      </w:r>
    </w:p>
    <w:tbl>
      <w:tblPr>
        <w:tblW w:w="7338" w:type="dxa"/>
        <w:tblLook w:val="04A0" w:firstRow="1" w:lastRow="0" w:firstColumn="1" w:lastColumn="0" w:noHBand="0" w:noVBand="1"/>
      </w:tblPr>
      <w:tblGrid>
        <w:gridCol w:w="5353"/>
        <w:gridCol w:w="1985"/>
      </w:tblGrid>
      <w:tr w:rsidR="002D27CD" w14:paraId="72AB85D9" w14:textId="77777777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817A" w14:textId="77777777" w:rsidR="002D27CD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Rashodi za redovan rad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F80B" w14:textId="77777777" w:rsidR="002D27CD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25.850,00 eura</w:t>
            </w:r>
          </w:p>
        </w:tc>
      </w:tr>
      <w:tr w:rsidR="002D27CD" w14:paraId="3802F1DC" w14:textId="77777777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DD74" w14:textId="77777777" w:rsidR="002D27CD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Nabavke opreme i knjiga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7C4A" w14:textId="77777777" w:rsidR="002D27CD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4.950,00 eura</w:t>
            </w:r>
          </w:p>
        </w:tc>
      </w:tr>
      <w:tr w:rsidR="002D27CD" w14:paraId="5DEE45D0" w14:textId="77777777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49A1" w14:textId="77777777" w:rsidR="002D27CD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UKUPNO: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94FB" w14:textId="77777777" w:rsidR="002D27CD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30.800,00 eura</w:t>
            </w:r>
          </w:p>
        </w:tc>
      </w:tr>
    </w:tbl>
    <w:p w14:paraId="18F9143B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2689E2D8" w14:textId="77777777" w:rsidR="002D27CD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367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ostvareno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u tekućem izvještajnom razdoblju </w:t>
      </w:r>
      <w:r>
        <w:rPr>
          <w:rFonts w:ascii="Arial" w:hAnsi="Arial"/>
        </w:rPr>
        <w:t>odnosi se na prijenos sredstva proračunskim korisnicima općinskog proračuna za financiranje redovite djelatnosti i sufinanciranje nabavke opreme kako slijedi:</w:t>
      </w:r>
    </w:p>
    <w:p w14:paraId="12D02FEB" w14:textId="77777777" w:rsidR="002D27CD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Dječji vrtić „Balončica“: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985"/>
      </w:tblGrid>
      <w:tr w:rsidR="002D27CD" w14:paraId="15D5C214" w14:textId="77777777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0DBB" w14:textId="77777777" w:rsidR="002D27CD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Rashodi za redovan rad dječjeg vrtića </w:t>
            </w:r>
            <w:proofErr w:type="spellStart"/>
            <w:r>
              <w:rPr>
                <w:rFonts w:ascii="Arial" w:hAnsi="Arial"/>
              </w:rPr>
              <w:t>Baločica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A417" w14:textId="77777777" w:rsidR="002D27CD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224.910,00 eura</w:t>
            </w:r>
          </w:p>
        </w:tc>
      </w:tr>
      <w:tr w:rsidR="002D27CD" w14:paraId="4DE1BB10" w14:textId="77777777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23D3" w14:textId="77777777" w:rsidR="002D27CD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UKUPNO: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3615" w14:textId="77777777" w:rsidR="002D27CD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224.910,00 eura</w:t>
            </w:r>
          </w:p>
        </w:tc>
      </w:tr>
    </w:tbl>
    <w:p w14:paraId="67D24354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hd w:val="clear" w:color="auto" w:fill="FFFF00"/>
        </w:rPr>
        <w:t xml:space="preserve"> </w:t>
      </w:r>
    </w:p>
    <w:p w14:paraId="086DEAA6" w14:textId="77777777" w:rsidR="002D27CD" w:rsidRDefault="0000000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Narodna knjižnica Hum na Sutli: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985"/>
      </w:tblGrid>
      <w:tr w:rsidR="002D27CD" w14:paraId="6979C7E1" w14:textId="77777777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A2D1" w14:textId="77777777" w:rsidR="002D27CD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Rashodi za redovan rad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14D3" w14:textId="77777777" w:rsidR="002D27CD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26.500,00 eura</w:t>
            </w:r>
          </w:p>
        </w:tc>
      </w:tr>
      <w:tr w:rsidR="002D27CD" w14:paraId="39F9F8F5" w14:textId="77777777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EBC9" w14:textId="77777777" w:rsidR="002D27CD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Nabavke opreme i knjiga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7130" w14:textId="77777777" w:rsidR="002D27CD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4.500,00 eura</w:t>
            </w:r>
          </w:p>
        </w:tc>
      </w:tr>
      <w:tr w:rsidR="002D27CD" w14:paraId="4EF1383B" w14:textId="77777777">
        <w:tc>
          <w:tcPr>
            <w:tcW w:w="53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A386" w14:textId="77777777" w:rsidR="002D27CD" w:rsidRDefault="0000000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UKUPNO: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2152" w14:textId="77777777" w:rsidR="002D27CD" w:rsidRDefault="00000000">
            <w:pPr>
              <w:spacing w:after="0" w:line="24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31.000,00 eura</w:t>
            </w:r>
          </w:p>
        </w:tc>
      </w:tr>
    </w:tbl>
    <w:p w14:paraId="17070993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04071397" w14:textId="77777777" w:rsidR="002D27CD" w:rsidRDefault="002D27CD">
      <w:pPr>
        <w:spacing w:after="0" w:line="240" w:lineRule="auto"/>
        <w:jc w:val="both"/>
        <w:rPr>
          <w:rFonts w:ascii="Arial" w:hAnsi="Arial"/>
        </w:rPr>
      </w:pPr>
    </w:p>
    <w:p w14:paraId="1E872A66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6</w:t>
      </w:r>
    </w:p>
    <w:p w14:paraId="42725AC7" w14:textId="77777777" w:rsidR="002D27CD" w:rsidRPr="00FA799D" w:rsidRDefault="00000000" w:rsidP="00FA799D">
      <w:pPr>
        <w:pStyle w:val="Bezproreda"/>
        <w:rPr>
          <w:rFonts w:ascii="Arial" w:hAnsi="Arial" w:cs="Arial"/>
        </w:rPr>
      </w:pPr>
      <w:r w:rsidRPr="00FA799D">
        <w:rPr>
          <w:rFonts w:ascii="Arial" w:hAnsi="Arial" w:cs="Arial"/>
          <w:u w:val="single"/>
        </w:rPr>
        <w:t>Račun iz Računskog plana 45</w:t>
      </w:r>
      <w:r w:rsidRPr="00FA799D">
        <w:rPr>
          <w:rFonts w:ascii="Arial" w:hAnsi="Arial" w:cs="Arial"/>
        </w:rPr>
        <w:t xml:space="preserve"> </w:t>
      </w:r>
      <w:r w:rsidRPr="00FA799D">
        <w:rPr>
          <w:rFonts w:ascii="Arial" w:hAnsi="Arial" w:cs="Arial"/>
          <w:i/>
        </w:rPr>
        <w:t>ostvareno</w:t>
      </w:r>
      <w:r w:rsidRPr="00FA799D">
        <w:rPr>
          <w:rFonts w:ascii="Arial" w:hAnsi="Arial" w:cs="Arial"/>
        </w:rPr>
        <w:t xml:space="preserve"> </w:t>
      </w:r>
      <w:r w:rsidRPr="00FA799D">
        <w:rPr>
          <w:rFonts w:ascii="Arial" w:hAnsi="Arial" w:cs="Arial"/>
          <w:i/>
        </w:rPr>
        <w:t>u izvještajnom razdoblju prethodne godine</w:t>
      </w:r>
      <w:r w:rsidRPr="00FA799D">
        <w:rPr>
          <w:rFonts w:ascii="Arial" w:hAnsi="Arial" w:cs="Arial"/>
          <w:i/>
          <w:u w:val="single"/>
        </w:rPr>
        <w:t xml:space="preserve"> </w:t>
      </w:r>
      <w:r w:rsidRPr="00FA799D">
        <w:rPr>
          <w:rFonts w:ascii="Arial" w:hAnsi="Arial" w:cs="Arial"/>
        </w:rPr>
        <w:t>odnosi se na rashode kako slijedi:</w:t>
      </w:r>
    </w:p>
    <w:p w14:paraId="0EDBFE70" w14:textId="4BC37F8A" w:rsidR="002D27CD" w:rsidRDefault="00000000" w:rsidP="00FA799D">
      <w:pPr>
        <w:pStyle w:val="Bezproreda"/>
        <w:ind w:left="708"/>
        <w:rPr>
          <w:rFonts w:ascii="Arial" w:hAnsi="Arial" w:cs="Arial"/>
        </w:rPr>
      </w:pPr>
      <w:r w:rsidRPr="00FA799D">
        <w:rPr>
          <w:rFonts w:ascii="Arial" w:hAnsi="Arial" w:cs="Arial"/>
        </w:rPr>
        <w:t>- dokumentacije rekonstrukcija Kinodvorane u interpretacijski centar i multimedijalnu dvoranu  u iznosu od 51.833,25 eura.</w:t>
      </w:r>
    </w:p>
    <w:p w14:paraId="52BE6E4A" w14:textId="77777777" w:rsidR="00FA799D" w:rsidRPr="00FA799D" w:rsidRDefault="00FA799D" w:rsidP="00FA799D">
      <w:pPr>
        <w:pStyle w:val="Bezproreda"/>
        <w:rPr>
          <w:rFonts w:ascii="Arial" w:hAnsi="Arial" w:cs="Arial"/>
        </w:rPr>
      </w:pPr>
    </w:p>
    <w:p w14:paraId="28BCD0B3" w14:textId="77777777" w:rsidR="002D27CD" w:rsidRPr="00FA799D" w:rsidRDefault="00000000" w:rsidP="00FA799D">
      <w:pPr>
        <w:pStyle w:val="Bezproreda"/>
        <w:rPr>
          <w:rFonts w:ascii="Arial" w:hAnsi="Arial" w:cs="Arial"/>
        </w:rPr>
      </w:pPr>
      <w:r w:rsidRPr="00FA799D">
        <w:rPr>
          <w:rFonts w:ascii="Arial" w:hAnsi="Arial" w:cs="Arial"/>
          <w:u w:val="single"/>
        </w:rPr>
        <w:t>Račun iz Računskog plana 45</w:t>
      </w:r>
      <w:r w:rsidRPr="00FA799D">
        <w:rPr>
          <w:rFonts w:ascii="Arial" w:hAnsi="Arial" w:cs="Arial"/>
        </w:rPr>
        <w:t xml:space="preserve"> ostvareno u tekućem izvještajnom razdoblju odnosi se</w:t>
      </w:r>
    </w:p>
    <w:p w14:paraId="6E9F3DD7" w14:textId="77777777" w:rsidR="002D27CD" w:rsidRPr="00FA799D" w:rsidRDefault="00000000" w:rsidP="00FA799D">
      <w:pPr>
        <w:pStyle w:val="Bezproreda"/>
        <w:ind w:firstLine="708"/>
        <w:rPr>
          <w:rFonts w:ascii="Arial" w:hAnsi="Arial" w:cs="Arial"/>
        </w:rPr>
      </w:pPr>
      <w:r w:rsidRPr="00FA799D">
        <w:rPr>
          <w:rFonts w:ascii="Arial" w:hAnsi="Arial" w:cs="Arial"/>
        </w:rPr>
        <w:t>- projektna dokumentacija - dogradnja Dječjeg vrtića u iznosu od 16.258,55 eura,</w:t>
      </w:r>
    </w:p>
    <w:p w14:paraId="6E1440A3" w14:textId="77777777" w:rsidR="002D27CD" w:rsidRDefault="00000000" w:rsidP="00FA799D">
      <w:pPr>
        <w:pStyle w:val="Bezproreda"/>
        <w:ind w:left="708"/>
        <w:rPr>
          <w:rFonts w:ascii="Arial" w:hAnsi="Arial" w:cs="Arial"/>
        </w:rPr>
      </w:pPr>
      <w:r w:rsidRPr="00FA799D">
        <w:rPr>
          <w:rFonts w:ascii="Arial" w:hAnsi="Arial" w:cs="Arial"/>
        </w:rPr>
        <w:t>- dodatna ulaganja na građevinskim objektima - prostorije Narodne knjižnica Hum na Sutli u iznosu od 30.962,50 eura.</w:t>
      </w:r>
    </w:p>
    <w:p w14:paraId="1F9A0B60" w14:textId="77777777" w:rsidR="00FA799D" w:rsidRPr="00FA799D" w:rsidRDefault="00FA799D" w:rsidP="00FA799D">
      <w:pPr>
        <w:pStyle w:val="Bezproreda"/>
        <w:ind w:firstLine="708"/>
        <w:rPr>
          <w:rFonts w:ascii="Arial" w:hAnsi="Arial" w:cs="Arial"/>
        </w:rPr>
      </w:pPr>
    </w:p>
    <w:p w14:paraId="1A009DD6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7</w:t>
      </w:r>
    </w:p>
    <w:p w14:paraId="24B3CE85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u w:val="single"/>
        </w:rPr>
        <w:t>Račun iz Računskog plana 544</w:t>
      </w:r>
      <w:r>
        <w:rPr>
          <w:rFonts w:ascii="Arial" w:hAnsi="Arial"/>
        </w:rPr>
        <w:t xml:space="preserve"> u iznosu od 53.089,14 eura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odnosi se na obvezu otplate glavnice po kreditnom zaduženju namijenjenog za financiranje izgradnje građevine športsko-rekreacijske namjene, 2.b skupine - prateći i pomoćni prostori uz postojeće nogometno igralište u </w:t>
      </w:r>
      <w:proofErr w:type="spellStart"/>
      <w:r>
        <w:rPr>
          <w:rFonts w:ascii="Arial" w:hAnsi="Arial"/>
        </w:rPr>
        <w:t>Lastinama</w:t>
      </w:r>
      <w:proofErr w:type="spellEnd"/>
      <w:r>
        <w:rPr>
          <w:rFonts w:ascii="Arial" w:hAnsi="Arial"/>
        </w:rPr>
        <w:t>.</w:t>
      </w:r>
    </w:p>
    <w:p w14:paraId="21068B80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13227669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Bilješka br. 8</w:t>
      </w:r>
    </w:p>
    <w:p w14:paraId="2C254382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i/>
          <w:u w:val="single"/>
        </w:rPr>
        <w:t>Ostvareno u tekućem izvještajnom razdoblju:</w:t>
      </w:r>
    </w:p>
    <w:p w14:paraId="2C9B8FE5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X678</w:t>
      </w:r>
      <w:r>
        <w:rPr>
          <w:rFonts w:ascii="Arial" w:hAnsi="Arial"/>
        </w:rPr>
        <w:t xml:space="preserve"> odnosi se na prihode poslovanja u iznosu od 1.403.214,26 eura, prihode od prodaje nefinancijske imovine u iznosu od 2.068,56 eura općine Hum na Sutli.</w:t>
      </w:r>
    </w:p>
    <w:p w14:paraId="66EC0A79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Y345</w:t>
      </w:r>
      <w:r>
        <w:rPr>
          <w:rFonts w:ascii="Arial" w:hAnsi="Arial"/>
        </w:rPr>
        <w:t xml:space="preserve"> odnosi se na rashode poslovanja općine Hum na Sutli u iznosu od 799.046,71 eura uvećane za prijenos sredstva proračunskim korisnicima općinskog proračuna za financiranje redovite djelatnosti u iznosu od 251.410,00 eura, te iznosu od 4.500,00 eura za financiranje nabave nefinancijske imovine. </w:t>
      </w:r>
    </w:p>
    <w:p w14:paraId="085AAC56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Rashode općine Hum na Sutli za nabavku nefinancijske imovine u iznosu od 141.185,46 eura.</w:t>
      </w:r>
    </w:p>
    <w:p w14:paraId="199213B2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Izdatka za otplatu glavnice kredita u iznosu od 53.089,14 eura za izgradnju građevine športsko-rekreacijske namjene, 2.b skupine - prateći i pomoćni prostori uz postojeće nogometno igralište u </w:t>
      </w:r>
      <w:proofErr w:type="spellStart"/>
      <w:r>
        <w:rPr>
          <w:rFonts w:ascii="Arial" w:hAnsi="Arial"/>
        </w:rPr>
        <w:t>Lastinama</w:t>
      </w:r>
      <w:proofErr w:type="spellEnd"/>
      <w:r>
        <w:rPr>
          <w:rFonts w:ascii="Arial" w:hAnsi="Arial"/>
        </w:rPr>
        <w:t>.</w:t>
      </w:r>
    </w:p>
    <w:p w14:paraId="140A4CD6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Preneseni Višak prihoda poslovanja</w:t>
      </w:r>
      <w:r>
        <w:rPr>
          <w:rFonts w:ascii="Arial" w:hAnsi="Arial"/>
        </w:rPr>
        <w:t xml:space="preserve">  iznosi 1.414.904,80 eura.</w:t>
      </w:r>
    </w:p>
    <w:p w14:paraId="6A3277EB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Iz navedenog slijedi da je općina na dan 30. lipanj 2024. godine ostvarila ukupan Višak prihoda i primitaka raspoloživ u sljedećem razdoblju u iznosu od 1.570.956,31 eura. </w:t>
      </w:r>
    </w:p>
    <w:p w14:paraId="2D2F6BD5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11K</w:t>
      </w:r>
      <w:r>
        <w:rPr>
          <w:rFonts w:ascii="Arial" w:hAnsi="Arial"/>
        </w:rPr>
        <w:t xml:space="preserve"> odnosi se stanje žiro računa u iznosu od 1.594.028,46 eura i stanje blagajne u iznosu od 1.197,16 eura na dan 30. lipanj 2024. godine.</w:t>
      </w:r>
    </w:p>
    <w:p w14:paraId="0F488EB8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6D97CF21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73F21E38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2A7E46A7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49693555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642FCE5A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190C2FAF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038E1004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7C0908D8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01A54ACC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3D331F32" w14:textId="6468F603" w:rsidR="002D27CD" w:rsidRDefault="002D27CD">
      <w:pPr>
        <w:spacing w:line="240" w:lineRule="auto"/>
        <w:jc w:val="both"/>
        <w:rPr>
          <w:rFonts w:ascii="Arial" w:hAnsi="Arial"/>
        </w:rPr>
      </w:pPr>
    </w:p>
    <w:p w14:paraId="6D4085A6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449EB4D8" w14:textId="77777777" w:rsidR="00C14515" w:rsidRDefault="00C14515">
      <w:pPr>
        <w:spacing w:line="240" w:lineRule="auto"/>
        <w:jc w:val="both"/>
        <w:rPr>
          <w:rFonts w:ascii="Arial" w:hAnsi="Arial"/>
        </w:rPr>
      </w:pPr>
    </w:p>
    <w:p w14:paraId="06C8A639" w14:textId="77777777" w:rsidR="00C14515" w:rsidRDefault="00C14515">
      <w:pPr>
        <w:spacing w:line="240" w:lineRule="auto"/>
        <w:jc w:val="both"/>
        <w:rPr>
          <w:rFonts w:ascii="Arial" w:hAnsi="Arial"/>
        </w:rPr>
      </w:pPr>
    </w:p>
    <w:p w14:paraId="6803C529" w14:textId="77777777" w:rsidR="00C14515" w:rsidRDefault="00C14515">
      <w:pPr>
        <w:spacing w:line="240" w:lineRule="auto"/>
        <w:jc w:val="both"/>
        <w:rPr>
          <w:rFonts w:ascii="Arial" w:hAnsi="Arial"/>
        </w:rPr>
      </w:pPr>
    </w:p>
    <w:p w14:paraId="32E49D0E" w14:textId="77777777" w:rsidR="00C14515" w:rsidRDefault="00C14515">
      <w:pPr>
        <w:spacing w:line="240" w:lineRule="auto"/>
        <w:jc w:val="both"/>
        <w:rPr>
          <w:rFonts w:ascii="Arial" w:hAnsi="Arial"/>
        </w:rPr>
      </w:pPr>
    </w:p>
    <w:p w14:paraId="04C22981" w14:textId="77777777" w:rsidR="00C14515" w:rsidRDefault="00C14515">
      <w:pPr>
        <w:spacing w:line="240" w:lineRule="auto"/>
        <w:jc w:val="both"/>
        <w:rPr>
          <w:rFonts w:ascii="Arial" w:hAnsi="Arial"/>
        </w:rPr>
      </w:pPr>
    </w:p>
    <w:p w14:paraId="5FBE55A4" w14:textId="77777777" w:rsidR="00C14515" w:rsidRDefault="00C14515">
      <w:pPr>
        <w:spacing w:line="240" w:lineRule="auto"/>
        <w:jc w:val="both"/>
        <w:rPr>
          <w:rFonts w:ascii="Arial" w:hAnsi="Arial"/>
        </w:rPr>
      </w:pPr>
    </w:p>
    <w:p w14:paraId="5F54175B" w14:textId="77777777" w:rsidR="002D27CD" w:rsidRDefault="002D27CD">
      <w:pPr>
        <w:spacing w:line="240" w:lineRule="auto"/>
        <w:jc w:val="both"/>
        <w:rPr>
          <w:rFonts w:ascii="Arial" w:hAnsi="Arial"/>
        </w:rPr>
      </w:pPr>
    </w:p>
    <w:p w14:paraId="3810E72F" w14:textId="77777777" w:rsidR="002D27CD" w:rsidRPr="00C14515" w:rsidRDefault="00000000" w:rsidP="00C14515">
      <w:pPr>
        <w:pStyle w:val="Bezproreda"/>
        <w:jc w:val="center"/>
        <w:rPr>
          <w:rFonts w:ascii="Arial" w:hAnsi="Arial" w:cs="Arial"/>
          <w:b/>
          <w:bCs/>
          <w:szCs w:val="22"/>
        </w:rPr>
      </w:pPr>
      <w:r w:rsidRPr="00C14515">
        <w:rPr>
          <w:rFonts w:ascii="Arial" w:hAnsi="Arial" w:cs="Arial"/>
          <w:b/>
          <w:bCs/>
          <w:szCs w:val="22"/>
        </w:rPr>
        <w:lastRenderedPageBreak/>
        <w:t>IZVJEŠTAJ O OBVEZAMA</w:t>
      </w:r>
    </w:p>
    <w:p w14:paraId="7B81C9D7" w14:textId="0019F3BD" w:rsidR="002D27CD" w:rsidRPr="00C14515" w:rsidRDefault="00000000" w:rsidP="00C14515">
      <w:pPr>
        <w:pStyle w:val="Bezproreda"/>
        <w:jc w:val="center"/>
        <w:rPr>
          <w:rFonts w:ascii="Arial" w:hAnsi="Arial" w:cs="Arial"/>
          <w:b/>
          <w:bCs/>
          <w:szCs w:val="22"/>
        </w:rPr>
      </w:pPr>
      <w:r w:rsidRPr="00C14515">
        <w:rPr>
          <w:rFonts w:ascii="Arial" w:hAnsi="Arial" w:cs="Arial"/>
          <w:b/>
          <w:bCs/>
          <w:szCs w:val="22"/>
        </w:rPr>
        <w:t>za razdoblje 01.01.2024. - 30.06.2024.</w:t>
      </w:r>
    </w:p>
    <w:p w14:paraId="18B29441" w14:textId="77777777" w:rsidR="00C14515" w:rsidRPr="00C14515" w:rsidRDefault="00C14515" w:rsidP="00C14515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294028" w14:textId="77777777" w:rsidR="002D27CD" w:rsidRDefault="00000000">
      <w:pPr>
        <w:spacing w:line="240" w:lineRule="auto"/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(bilješke od br. 1 do br. 2)</w:t>
      </w:r>
    </w:p>
    <w:p w14:paraId="728F0C87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1</w:t>
      </w:r>
    </w:p>
    <w:p w14:paraId="74E09A9D" w14:textId="77777777" w:rsidR="002D27CD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Šifra V001</w:t>
      </w:r>
      <w:r>
        <w:rPr>
          <w:rFonts w:ascii="Arial" w:hAnsi="Arial"/>
        </w:rPr>
        <w:t xml:space="preserve"> odnosi se na stanje obveza na dan 01.01.2024. godine u ukupnom iznosu od 451.150,09 eura, a odnose se na:</w:t>
      </w:r>
    </w:p>
    <w:p w14:paraId="679877BD" w14:textId="77777777" w:rsidR="002D27CD" w:rsidRDefault="00000000">
      <w:pPr>
        <w:spacing w:after="0" w:line="240" w:lineRule="auto"/>
        <w:ind w:left="567" w:hanging="141"/>
        <w:rPr>
          <w:rFonts w:ascii="Arial" w:hAnsi="Arial"/>
        </w:rPr>
      </w:pPr>
      <w:r>
        <w:rPr>
          <w:rFonts w:ascii="Arial" w:hAnsi="Arial"/>
        </w:rPr>
        <w:t>- nedospjelu obvezu uplate 55% prihoda od prodaje stanova na kojima postoji stanarsko pravo uplatiti u proračun Republike Hrvatske u iznosu od 19,87 eura,</w:t>
      </w:r>
    </w:p>
    <w:p w14:paraId="5F366D7E" w14:textId="77777777" w:rsidR="002D27CD" w:rsidRDefault="00000000">
      <w:pPr>
        <w:spacing w:after="0" w:line="240" w:lineRule="auto"/>
        <w:ind w:left="567" w:hanging="141"/>
        <w:rPr>
          <w:rFonts w:ascii="Arial" w:hAnsi="Arial"/>
        </w:rPr>
      </w:pPr>
      <w:r>
        <w:rPr>
          <w:rFonts w:ascii="Arial" w:hAnsi="Arial"/>
        </w:rPr>
        <w:t>- nedospjele obveza za prihode od naknade za nezakonito izgrađene građevine u prostoru koja se zadužuje prema izdanim Rješenjima naknade za nezakonito izgrađene građevine u prostoru u iznosu od 848,52 eura,</w:t>
      </w:r>
    </w:p>
    <w:p w14:paraId="461360D3" w14:textId="77777777" w:rsidR="002D27CD" w:rsidRDefault="00000000">
      <w:pPr>
        <w:spacing w:after="0" w:line="240" w:lineRule="auto"/>
        <w:ind w:left="567" w:hanging="141"/>
        <w:jc w:val="both"/>
        <w:rPr>
          <w:rFonts w:ascii="Arial" w:hAnsi="Arial"/>
        </w:rPr>
      </w:pPr>
      <w:r>
        <w:rPr>
          <w:rFonts w:ascii="Arial" w:hAnsi="Arial"/>
        </w:rPr>
        <w:t>-  nedospjele obvezu za plaću za prosinac 2023. godine u iznosu od 8.796,66 eura,</w:t>
      </w:r>
    </w:p>
    <w:p w14:paraId="707667A0" w14:textId="77777777" w:rsidR="002D27CD" w:rsidRDefault="00000000">
      <w:pPr>
        <w:spacing w:after="0" w:line="240" w:lineRule="auto"/>
        <w:ind w:left="567" w:hanging="141"/>
        <w:jc w:val="both"/>
        <w:rPr>
          <w:rFonts w:ascii="Arial" w:hAnsi="Arial"/>
        </w:rPr>
      </w:pPr>
      <w:r>
        <w:rPr>
          <w:rFonts w:ascii="Arial" w:hAnsi="Arial"/>
        </w:rPr>
        <w:t>-  nedospjele obveze za materijalne rashode u iznosu od 23.452,56 eura,</w:t>
      </w:r>
    </w:p>
    <w:p w14:paraId="09725153" w14:textId="77777777" w:rsidR="002D27CD" w:rsidRDefault="00000000">
      <w:pPr>
        <w:spacing w:after="0" w:line="240" w:lineRule="auto"/>
        <w:ind w:left="567" w:hanging="141"/>
        <w:jc w:val="both"/>
        <w:rPr>
          <w:rFonts w:ascii="Arial" w:hAnsi="Arial"/>
        </w:rPr>
      </w:pPr>
      <w:r>
        <w:rPr>
          <w:rFonts w:ascii="Arial" w:hAnsi="Arial"/>
        </w:rPr>
        <w:t>-  nedospjele obveze za financijske rashode u iznosu od 678,29 eura,</w:t>
      </w:r>
    </w:p>
    <w:p w14:paraId="01A69BB9" w14:textId="77777777" w:rsidR="002D27CD" w:rsidRDefault="00000000">
      <w:pPr>
        <w:spacing w:after="0" w:line="240" w:lineRule="auto"/>
        <w:ind w:left="567" w:hanging="141"/>
        <w:jc w:val="both"/>
        <w:rPr>
          <w:rFonts w:ascii="Arial" w:hAnsi="Arial"/>
        </w:rPr>
      </w:pPr>
      <w:r>
        <w:rPr>
          <w:rFonts w:ascii="Arial" w:hAnsi="Arial"/>
        </w:rPr>
        <w:t xml:space="preserve">-  nedospjele obveze za subvenciju poljoprivrednicima u iznosu od 265,50 eura, </w:t>
      </w:r>
    </w:p>
    <w:p w14:paraId="6FB0AF04" w14:textId="77777777" w:rsidR="002D27CD" w:rsidRDefault="00000000">
      <w:pPr>
        <w:spacing w:after="0" w:line="240" w:lineRule="auto"/>
        <w:ind w:left="567" w:hanging="141"/>
        <w:jc w:val="both"/>
        <w:rPr>
          <w:rFonts w:ascii="Arial" w:hAnsi="Arial"/>
        </w:rPr>
      </w:pPr>
      <w:r>
        <w:rPr>
          <w:rFonts w:ascii="Arial" w:hAnsi="Arial"/>
        </w:rPr>
        <w:t>-  nedospjela obveza za ostale naknade građanima u iznosu od 1.223,92 eura</w:t>
      </w:r>
      <w:r>
        <w:rPr>
          <w:rFonts w:ascii="Arial" w:hAnsi="Arial"/>
          <w:i/>
        </w:rPr>
        <w:t>,</w:t>
      </w:r>
    </w:p>
    <w:p w14:paraId="6837301A" w14:textId="77777777" w:rsidR="002D27CD" w:rsidRDefault="00000000">
      <w:pPr>
        <w:spacing w:after="0" w:line="240" w:lineRule="auto"/>
        <w:ind w:left="567" w:hanging="141"/>
        <w:jc w:val="both"/>
        <w:rPr>
          <w:rFonts w:ascii="Arial" w:hAnsi="Arial"/>
        </w:rPr>
      </w:pPr>
      <w:r>
        <w:rPr>
          <w:rFonts w:ascii="Arial" w:hAnsi="Arial"/>
        </w:rPr>
        <w:t xml:space="preserve">-  nedospjelu obvezu otplate glavnice za iskorišten dio dugoročnog kredita za izgradnju građevine športsko-rekreacijske namjene, 2.b skupine - prateći i pomoćni prostori uz postojeće nogometno igralište u </w:t>
      </w:r>
      <w:proofErr w:type="spellStart"/>
      <w:r>
        <w:rPr>
          <w:rFonts w:ascii="Arial" w:hAnsi="Arial"/>
        </w:rPr>
        <w:t>Lastinama</w:t>
      </w:r>
      <w:proofErr w:type="spellEnd"/>
      <w:r>
        <w:rPr>
          <w:rFonts w:ascii="Arial" w:hAnsi="Arial"/>
        </w:rPr>
        <w:t xml:space="preserve"> u iznosu od 415.864,77 eura.  </w:t>
      </w:r>
    </w:p>
    <w:p w14:paraId="283D405F" w14:textId="77777777" w:rsidR="002D27CD" w:rsidRDefault="00000000">
      <w:pPr>
        <w:spacing w:line="240" w:lineRule="auto"/>
        <w:ind w:firstLine="708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0DB37B4" w14:textId="77777777" w:rsidR="002D27CD" w:rsidRDefault="0000000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Bilješka br. 2</w:t>
      </w:r>
    </w:p>
    <w:p w14:paraId="04F4E144" w14:textId="77777777" w:rsidR="002D27CD" w:rsidRDefault="00000000">
      <w:pPr>
        <w:spacing w:after="0" w:line="240" w:lineRule="auto"/>
        <w:rPr>
          <w:rFonts w:ascii="Arial" w:hAnsi="Arial"/>
        </w:rPr>
      </w:pPr>
      <w:r>
        <w:rPr>
          <w:rFonts w:ascii="Arial" w:hAnsi="Arial"/>
          <w:b/>
          <w:u w:val="single"/>
        </w:rPr>
        <w:t>Šifra V006</w:t>
      </w:r>
      <w:r>
        <w:rPr>
          <w:rFonts w:ascii="Arial" w:hAnsi="Arial"/>
        </w:rPr>
        <w:t xml:space="preserve"> odnosi se na stanje obveza na dan 30.06.2024. u ukupnom iznosu od 340.402,72 eura, a odnose se na:</w:t>
      </w:r>
    </w:p>
    <w:p w14:paraId="41729E42" w14:textId="77777777" w:rsidR="002D27CD" w:rsidRDefault="00000000">
      <w:pPr>
        <w:spacing w:after="0" w:line="240" w:lineRule="auto"/>
        <w:ind w:left="426"/>
        <w:rPr>
          <w:rFonts w:ascii="Arial" w:hAnsi="Arial"/>
        </w:rPr>
      </w:pPr>
      <w:r>
        <w:rPr>
          <w:rFonts w:ascii="Arial" w:hAnsi="Arial"/>
        </w:rPr>
        <w:t xml:space="preserve">- nedospjelu obvezu uplate 55% prihoda od prodaje stanova na kojima postoji stanarsko pravo uplatiti u proračun Republike Hrvatske u iznosu od 73,33 eura </w:t>
      </w:r>
      <w:r>
        <w:rPr>
          <w:rFonts w:ascii="Arial" w:hAnsi="Arial"/>
          <w:i/>
        </w:rPr>
        <w:t>(Šifra V010),</w:t>
      </w:r>
    </w:p>
    <w:p w14:paraId="652E186D" w14:textId="77777777" w:rsidR="002D27CD" w:rsidRDefault="00000000">
      <w:pPr>
        <w:spacing w:after="0" w:line="240" w:lineRule="auto"/>
        <w:ind w:left="426"/>
        <w:jc w:val="both"/>
        <w:rPr>
          <w:rFonts w:ascii="Arial" w:hAnsi="Arial"/>
        </w:rPr>
      </w:pPr>
      <w:r>
        <w:rPr>
          <w:rFonts w:ascii="Arial" w:hAnsi="Arial"/>
        </w:rPr>
        <w:t xml:space="preserve">-  nedospjele obvezu za plaću za lipanj 2024. godine u iznosu od 9.280,73 eura </w:t>
      </w:r>
      <w:r>
        <w:rPr>
          <w:rFonts w:ascii="Arial" w:hAnsi="Arial"/>
          <w:i/>
        </w:rPr>
        <w:t>(Šifra ND23),</w:t>
      </w:r>
    </w:p>
    <w:p w14:paraId="346BEE42" w14:textId="77777777" w:rsidR="002D27CD" w:rsidRDefault="00000000">
      <w:pPr>
        <w:spacing w:after="0" w:line="240" w:lineRule="auto"/>
        <w:ind w:left="426"/>
        <w:jc w:val="both"/>
        <w:rPr>
          <w:rFonts w:ascii="Arial" w:hAnsi="Arial"/>
        </w:rPr>
      </w:pPr>
      <w:r>
        <w:rPr>
          <w:rFonts w:ascii="Arial" w:hAnsi="Arial"/>
        </w:rPr>
        <w:t xml:space="preserve">-  nedospjele obveze za materijalne rashode u iznosu od 15.076,22 eura </w:t>
      </w:r>
      <w:r>
        <w:rPr>
          <w:rFonts w:ascii="Arial" w:hAnsi="Arial"/>
          <w:i/>
        </w:rPr>
        <w:t>(Šifra ND23),</w:t>
      </w:r>
    </w:p>
    <w:p w14:paraId="2BA01998" w14:textId="77777777" w:rsidR="002D27CD" w:rsidRDefault="00000000">
      <w:pPr>
        <w:spacing w:after="0" w:line="240" w:lineRule="auto"/>
        <w:ind w:left="426"/>
        <w:jc w:val="both"/>
        <w:rPr>
          <w:rFonts w:ascii="Arial" w:hAnsi="Arial"/>
        </w:rPr>
      </w:pPr>
      <w:r>
        <w:rPr>
          <w:rFonts w:ascii="Arial" w:hAnsi="Arial"/>
        </w:rPr>
        <w:t xml:space="preserve">-  nedospjele obveze za financijske rashode u iznosu od 598,07 eura </w:t>
      </w:r>
      <w:r>
        <w:rPr>
          <w:rFonts w:ascii="Arial" w:hAnsi="Arial"/>
          <w:i/>
        </w:rPr>
        <w:t>(Šifra ND23 ),</w:t>
      </w:r>
    </w:p>
    <w:p w14:paraId="380297DD" w14:textId="77777777" w:rsidR="002D27CD" w:rsidRDefault="00000000">
      <w:pPr>
        <w:spacing w:after="0" w:line="240" w:lineRule="auto"/>
        <w:ind w:left="426"/>
        <w:jc w:val="both"/>
        <w:rPr>
          <w:rFonts w:ascii="Arial" w:hAnsi="Arial"/>
        </w:rPr>
      </w:pPr>
      <w:r>
        <w:rPr>
          <w:rFonts w:ascii="Arial" w:hAnsi="Arial"/>
        </w:rPr>
        <w:t>-  nedospjele obveze za subvenciju poljoprivrednicima u iznosu od 159,30 eura (</w:t>
      </w:r>
      <w:r>
        <w:rPr>
          <w:rFonts w:ascii="Arial" w:hAnsi="Arial"/>
          <w:i/>
        </w:rPr>
        <w:t>Šifra ND23),</w:t>
      </w:r>
    </w:p>
    <w:p w14:paraId="5688C33D" w14:textId="77777777" w:rsidR="002D27CD" w:rsidRDefault="00000000">
      <w:pPr>
        <w:spacing w:after="0" w:line="240" w:lineRule="auto"/>
        <w:ind w:left="426"/>
        <w:jc w:val="both"/>
        <w:rPr>
          <w:rFonts w:ascii="Arial" w:hAnsi="Arial"/>
        </w:rPr>
      </w:pPr>
      <w:r>
        <w:rPr>
          <w:rFonts w:ascii="Arial" w:hAnsi="Arial"/>
        </w:rPr>
        <w:t xml:space="preserve">-  nedospjela obveza za ostale naknade građanima u iznosu od 976,94 eura </w:t>
      </w:r>
      <w:r>
        <w:rPr>
          <w:rFonts w:ascii="Arial" w:hAnsi="Arial"/>
          <w:i/>
        </w:rPr>
        <w:t>(Šifra ND23),</w:t>
      </w:r>
    </w:p>
    <w:p w14:paraId="57B6DFB6" w14:textId="77777777" w:rsidR="002D27CD" w:rsidRDefault="00000000">
      <w:pPr>
        <w:spacing w:after="0" w:line="240" w:lineRule="auto"/>
        <w:ind w:left="426"/>
        <w:jc w:val="both"/>
        <w:rPr>
          <w:rFonts w:ascii="Arial" w:hAnsi="Arial"/>
        </w:rPr>
      </w:pPr>
      <w:r>
        <w:rPr>
          <w:rFonts w:ascii="Arial" w:hAnsi="Arial"/>
        </w:rPr>
        <w:t xml:space="preserve"> -  nedospjela obveza za nabavu proizvedene dugotrajne imovine u iznosu od 1.462,50 eura </w:t>
      </w:r>
      <w:r>
        <w:rPr>
          <w:rFonts w:ascii="Arial" w:hAnsi="Arial"/>
          <w:i/>
        </w:rPr>
        <w:t>(Šifra ND24),</w:t>
      </w:r>
    </w:p>
    <w:p w14:paraId="1DB1402E" w14:textId="77777777" w:rsidR="002D27CD" w:rsidRDefault="00000000">
      <w:pPr>
        <w:spacing w:after="0" w:line="240" w:lineRule="auto"/>
        <w:ind w:left="426"/>
        <w:jc w:val="both"/>
        <w:rPr>
          <w:rFonts w:ascii="Arial" w:hAnsi="Arial"/>
        </w:rPr>
      </w:pPr>
      <w:r>
        <w:rPr>
          <w:rFonts w:ascii="Arial" w:hAnsi="Arial"/>
        </w:rPr>
        <w:t xml:space="preserve">-  nedospjelu obvezu otplate glavnice za iskorišten dio dugoročnog kredita za izgradnju građevine športsko-rekreacijske namjene, 2.b skupine - prateći i pomoćni prostori uz postojeće nogometno igralište u </w:t>
      </w:r>
      <w:proofErr w:type="spellStart"/>
      <w:r>
        <w:rPr>
          <w:rFonts w:ascii="Arial" w:hAnsi="Arial"/>
        </w:rPr>
        <w:t>Lastinama</w:t>
      </w:r>
      <w:proofErr w:type="spellEnd"/>
      <w:r>
        <w:rPr>
          <w:rFonts w:ascii="Arial" w:hAnsi="Arial"/>
        </w:rPr>
        <w:t xml:space="preserve"> u iznosu od 362.775,63 eura </w:t>
      </w:r>
      <w:r>
        <w:rPr>
          <w:rFonts w:ascii="Arial" w:hAnsi="Arial"/>
          <w:i/>
        </w:rPr>
        <w:t>(Šifra ND26)</w:t>
      </w:r>
      <w:r>
        <w:rPr>
          <w:rFonts w:ascii="Arial" w:hAnsi="Arial"/>
        </w:rPr>
        <w:t>.</w:t>
      </w:r>
    </w:p>
    <w:p w14:paraId="33F7F03D" w14:textId="77777777" w:rsidR="002D27CD" w:rsidRDefault="002D27CD">
      <w:pPr>
        <w:spacing w:line="240" w:lineRule="auto"/>
        <w:ind w:left="567" w:hanging="141"/>
        <w:jc w:val="both"/>
        <w:rPr>
          <w:rFonts w:ascii="Arial" w:hAnsi="Arial"/>
        </w:rPr>
      </w:pPr>
    </w:p>
    <w:p w14:paraId="1F9FD00E" w14:textId="77777777" w:rsidR="00C14515" w:rsidRDefault="00C14515">
      <w:pPr>
        <w:spacing w:line="240" w:lineRule="auto"/>
        <w:ind w:left="567" w:hanging="141"/>
        <w:jc w:val="both"/>
        <w:rPr>
          <w:rFonts w:ascii="Arial" w:hAnsi="Arial"/>
        </w:rPr>
      </w:pPr>
    </w:p>
    <w:p w14:paraId="49C83198" w14:textId="77777777" w:rsidR="002D27CD" w:rsidRDefault="00000000">
      <w:pPr>
        <w:spacing w:after="0" w:line="240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>Bilješke sastavila: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20238177" w14:textId="77777777" w:rsidR="002D27CD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Tatjana Gorišek Jančin </w:t>
      </w:r>
    </w:p>
    <w:p w14:paraId="0D2A85A1" w14:textId="77777777" w:rsidR="002D27CD" w:rsidRDefault="002D27CD">
      <w:pPr>
        <w:spacing w:after="0" w:line="240" w:lineRule="auto"/>
        <w:jc w:val="both"/>
        <w:rPr>
          <w:rFonts w:ascii="Arial" w:hAnsi="Arial"/>
        </w:rPr>
      </w:pPr>
    </w:p>
    <w:p w14:paraId="23676B64" w14:textId="77777777" w:rsidR="00C14515" w:rsidRDefault="00C14515">
      <w:pPr>
        <w:spacing w:after="0" w:line="240" w:lineRule="auto"/>
        <w:jc w:val="both"/>
        <w:rPr>
          <w:rFonts w:ascii="Arial" w:hAnsi="Arial"/>
        </w:rPr>
      </w:pPr>
    </w:p>
    <w:p w14:paraId="33552B56" w14:textId="77777777" w:rsidR="002D27CD" w:rsidRDefault="002D27CD">
      <w:pPr>
        <w:spacing w:line="240" w:lineRule="auto"/>
        <w:ind w:left="567" w:hanging="141"/>
        <w:jc w:val="both"/>
        <w:rPr>
          <w:rFonts w:ascii="Arial" w:hAnsi="Arial"/>
        </w:rPr>
      </w:pPr>
    </w:p>
    <w:p w14:paraId="656C3E68" w14:textId="77777777" w:rsidR="002D27CD" w:rsidRDefault="00000000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</w:t>
      </w:r>
      <w:r>
        <w:rPr>
          <w:rFonts w:ascii="Arial" w:hAnsi="Arial"/>
          <w:b/>
        </w:rPr>
        <w:t>OPĆINSKI NAČELNIK</w:t>
      </w:r>
    </w:p>
    <w:p w14:paraId="04A31685" w14:textId="77777777" w:rsidR="002D27CD" w:rsidRDefault="00000000">
      <w:pPr>
        <w:spacing w:after="0" w:line="240" w:lineRule="auto"/>
        <w:ind w:left="5316" w:firstLine="348"/>
        <w:jc w:val="both"/>
        <w:rPr>
          <w:rFonts w:ascii="Arial" w:hAnsi="Arial"/>
        </w:rPr>
      </w:pPr>
      <w:r>
        <w:rPr>
          <w:rFonts w:ascii="Arial" w:hAnsi="Arial"/>
        </w:rPr>
        <w:t xml:space="preserve">Zvonko Jutriša, </w:t>
      </w:r>
      <w:proofErr w:type="spellStart"/>
      <w:r>
        <w:rPr>
          <w:rFonts w:ascii="Arial" w:hAnsi="Arial"/>
        </w:rPr>
        <w:t>dipl.ing.stroj</w:t>
      </w:r>
      <w:proofErr w:type="spellEnd"/>
      <w:r>
        <w:rPr>
          <w:rFonts w:ascii="Arial" w:hAnsi="Arial"/>
        </w:rPr>
        <w:t>.</w:t>
      </w:r>
    </w:p>
    <w:p w14:paraId="4B2AC8B8" w14:textId="77777777" w:rsidR="002D27CD" w:rsidRDefault="002D27CD">
      <w:pPr>
        <w:spacing w:after="0" w:line="240" w:lineRule="auto"/>
        <w:jc w:val="center"/>
        <w:rPr>
          <w:rFonts w:ascii="Arial" w:hAnsi="Arial"/>
        </w:rPr>
      </w:pPr>
    </w:p>
    <w:sectPr w:rsidR="002D27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4C657" w14:textId="77777777" w:rsidR="00B77A67" w:rsidRDefault="00B77A67">
      <w:pPr>
        <w:spacing w:after="0" w:line="240" w:lineRule="auto"/>
      </w:pPr>
      <w:r>
        <w:separator/>
      </w:r>
    </w:p>
  </w:endnote>
  <w:endnote w:type="continuationSeparator" w:id="0">
    <w:p w14:paraId="31180093" w14:textId="77777777" w:rsidR="00B77A67" w:rsidRDefault="00B7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B8666" w14:textId="77777777" w:rsidR="002D27CD" w:rsidRDefault="002D27C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B5145" w14:textId="77777777" w:rsidR="002D27CD" w:rsidRDefault="002D27C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FAA55" w14:textId="77777777" w:rsidR="002D27CD" w:rsidRDefault="002D27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D42AE" w14:textId="77777777" w:rsidR="00B77A67" w:rsidRDefault="00B77A67">
      <w:pPr>
        <w:spacing w:after="0" w:line="240" w:lineRule="auto"/>
      </w:pPr>
      <w:r>
        <w:separator/>
      </w:r>
    </w:p>
  </w:footnote>
  <w:footnote w:type="continuationSeparator" w:id="0">
    <w:p w14:paraId="482B6CF4" w14:textId="77777777" w:rsidR="00B77A67" w:rsidRDefault="00B7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C2AD" w14:textId="77777777" w:rsidR="002D27CD" w:rsidRDefault="002D27C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12E4E" w14:textId="77777777" w:rsidR="002D27CD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0CAEBAA" wp14:editId="53BF92AD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95044" w14:textId="77777777" w:rsidR="002D27CD" w:rsidRDefault="00000000">
    <w:pPr>
      <w:pStyle w:val="Zaglavlje"/>
      <w:jc w:val="right"/>
    </w:pPr>
    <w:r>
      <w:rPr>
        <w:noProof/>
      </w:rPr>
      <w:drawing>
        <wp:inline distT="0" distB="0" distL="0" distR="0" wp14:anchorId="776AE058" wp14:editId="5A2D8694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CD"/>
    <w:rsid w:val="002D27CD"/>
    <w:rsid w:val="007D7411"/>
    <w:rsid w:val="00B77A67"/>
    <w:rsid w:val="00C1451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294A"/>
  <w15:docId w15:val="{6DAAE6B0-7334-4203-AC74-4A4ACDAE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A7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1456</Words>
  <Characters>8303</Characters>
  <Application>Microsoft Office Word</Application>
  <DocSecurity>0</DocSecurity>
  <Lines>69</Lines>
  <Paragraphs>19</Paragraphs>
  <ScaleCrop>false</ScaleCrop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3</cp:revision>
  <dcterms:created xsi:type="dcterms:W3CDTF">2024-07-10T11:00:00Z</dcterms:created>
  <dcterms:modified xsi:type="dcterms:W3CDTF">2024-07-10T09:06:00Z</dcterms:modified>
</cp:coreProperties>
</file>