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400-02/24-01/4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rujan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Na temelju članka 139. Zakona o proračunu (NN br.144/21) i članka 30. Statuta Općine Hum na Sutli („Službeni glasnik Krapinsko-zagorske županije“ br. 9/21), Općinsko vijeće Općine Hum na Sutli na sjednici održanoj  24. rujna 2024. godine donijelo je slijedeći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b w:val="1"/>
          <w:color w:val="ff0000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ZAKLJUČAK</w:t>
      </w:r>
    </w:p>
    <w:p>
      <w:pPr>
        <w:jc w:val="left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Članak 1.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Prihvaćaju se polugodišnji Financijski izvještaji Dječjeg vrtića „Balončica“ za razdoblje od 01. siječnja 2024. do 30. lipnja 2024. godine.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Financijski izvještaji  iz članka  1. ovog  Zaključka čine njegov sastavni dio.</w:t>
      </w: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objavljuje se u „Službenom glasniku Krapinsko-zagorske županije“, a stupa na snagu osmog dana od objave.</w:t>
      </w:r>
    </w:p>
    <w:p>
      <w:pPr>
        <w:spacing w:lineRule="auto" w:line="240" w:beforeAutospacing="0" w:afterAutospacing="0"/>
        <w:ind w:firstLine="708" w:left="6372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 </w:t>
      </w:r>
    </w:p>
    <w:p>
      <w:pPr>
        <w:spacing w:lineRule="auto" w:line="240" w:after="0" w:beforeAutospacing="0" w:afterAutospacing="0"/>
        <w:ind w:firstLine="7" w:left="6372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PREDSJEDNIK</w:t>
      </w:r>
    </w:p>
    <w:p>
      <w:pPr>
        <w:spacing w:lineRule="auto" w:line="240" w:after="0" w:beforeAutospacing="0" w:afterAutospacing="0"/>
        <w:ind w:firstLine="0" w:left="0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OPĆINSKOG VIJEĆA</w:t>
      </w:r>
    </w:p>
    <w:p>
      <w:pPr>
        <w:spacing w:lineRule="auto" w:line="240" w:after="0" w:beforeAutospacing="0" w:afterAutospacing="0"/>
        <w:ind w:hanging="1269" w:left="6372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Mario Antonić  </w:t>
      </w:r>
      <w:r>
        <w:rPr>
          <w:rFonts w:ascii="Arial" w:hAnsi="Arial"/>
          <w:sz w:val="22"/>
        </w:rPr>
        <w:tab/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DJEČJI VRTIĆ BALONČICA, Hum na Sutli 156, HUM NA SUTLI, 49231 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sz w:val="18"/>
        </w:rPr>
        <w:t xml:space="preserve">2. </w:t>
      </w:r>
      <w:r>
        <w:rPr>
          <w:rFonts w:ascii="Times New Roman" w:hAnsi="Times New Roman"/>
          <w:noProof w:val="1"/>
          <w:sz w:val="18"/>
        </w:rPr>
        <w:t xml:space="preserve">SLUŽBENI </w:t>
      </w:r>
      <w:r>
        <w:rPr>
          <w:rFonts w:ascii="Times New Roman" w:hAnsi="Times New Roman"/>
          <w:sz w:val="18"/>
        </w:rPr>
        <w:t xml:space="preserve">GLASNIK KRAPINSKO-ZAGORSKE ŽUPANIJE, Magistratska 1, KRAPINA, 49000 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2024-09-25T14:26:09Z</dcterms:created>
  <dcterms:modified xsi:type="dcterms:W3CDTF">2024-09-25T14:26:09Z</dcterms:modified>
</cp:coreProperties>
</file>