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i w:val="0"/>
          <w:sz w:val="22"/>
        </w:rPr>
      </w:pPr>
      <w:r>
        <w:rPr>
          <w:rFonts w:ascii="Calibri" w:hAnsi="Calibri"/>
          <w:b w:val="1"/>
          <w:i w:val="0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i w:val="0"/>
          <w:sz w:val="22"/>
        </w:rPr>
      </w:pPr>
      <w:r>
        <w:rPr>
          <w:rFonts w:ascii="Calibri" w:hAnsi="Calibri"/>
          <w:b w:val="1"/>
          <w:i w:val="0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i w:val="0"/>
          <w:sz w:val="22"/>
        </w:rPr>
      </w:pPr>
      <w:r>
        <w:rPr>
          <w:rFonts w:ascii="Calibri" w:hAnsi="Calibri"/>
          <w:b w:val="1"/>
          <w:i w:val="0"/>
          <w:noProof w:val="1"/>
          <w:sz w:val="22"/>
        </w:rPr>
        <w:t>Općina</w:t>
      </w:r>
      <w:r>
        <w:rPr>
          <w:rFonts w:ascii="Calibri" w:hAnsi="Calibri"/>
          <w:b w:val="1"/>
          <w:i w:val="0"/>
          <w:noProof w:val="1"/>
          <w:sz w:val="22"/>
        </w:rPr>
        <w:t xml:space="preserve"> </w:t>
      </w:r>
      <w:r>
        <w:rPr>
          <w:rFonts w:ascii="Calibri" w:hAnsi="Calibri"/>
          <w:b w:val="1"/>
          <w:i w:val="0"/>
          <w:noProof w:val="1"/>
          <w:sz w:val="22"/>
        </w:rPr>
        <w:t>Hum</w:t>
      </w:r>
      <w:r>
        <w:rPr>
          <w:rFonts w:ascii="Calibri" w:hAnsi="Calibri"/>
          <w:b w:val="1"/>
          <w:i w:val="0"/>
          <w:noProof w:val="1"/>
          <w:sz w:val="22"/>
        </w:rPr>
        <w:t xml:space="preserve"> </w:t>
      </w:r>
      <w:r>
        <w:rPr>
          <w:rFonts w:ascii="Calibri" w:hAnsi="Calibri"/>
          <w:b w:val="1"/>
          <w:i w:val="0"/>
          <w:noProof w:val="1"/>
          <w:sz w:val="22"/>
        </w:rPr>
        <w:t>na</w:t>
      </w:r>
      <w:r>
        <w:rPr>
          <w:rFonts w:ascii="Calibri" w:hAnsi="Calibri"/>
          <w:b w:val="1"/>
          <w:i w:val="0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i w:val="0"/>
          <w:color w:val="000000"/>
          <w:sz w:val="22"/>
        </w:rPr>
      </w:pPr>
      <w:r>
        <w:rPr>
          <w:rFonts w:ascii="Calibri" w:hAnsi="Calibri"/>
          <w:b w:val="1"/>
          <w:i w:val="0"/>
          <w:noProof w:val="1"/>
          <w:color w:val="000000"/>
          <w:sz w:val="22"/>
        </w:rPr>
        <w:t>Općinsko</w:t>
      </w:r>
      <w:r>
        <w:rPr>
          <w:rFonts w:ascii="Calibri" w:hAnsi="Calibri"/>
          <w:b w:val="1"/>
          <w:i w:val="0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i w:val="0"/>
          <w:noProof w:val="1"/>
          <w:color w:val="000000"/>
          <w:sz w:val="22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i w:val="0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i w:val="0"/>
          <w:sz w:val="22"/>
        </w:rPr>
      </w:pPr>
      <w:r>
        <w:rPr>
          <w:rFonts w:ascii="Calibri" w:hAnsi="Calibri"/>
          <w:i w:val="0"/>
          <w:sz w:val="22"/>
        </w:rPr>
        <w:t xml:space="preserve">KLASA: </w:t>
      </w:r>
      <w:r>
        <w:rPr>
          <w:rFonts w:ascii="Calibri" w:hAnsi="Calibri"/>
          <w:i w:val="0"/>
          <w:sz w:val="22"/>
        </w:rPr>
        <w:t>400-01/24-01/24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0"/>
          <w:sz w:val="22"/>
        </w:rPr>
      </w:pPr>
      <w:r>
        <w:rPr>
          <w:rFonts w:ascii="Calibri" w:hAnsi="Calibri"/>
          <w:i w:val="0"/>
          <w:sz w:val="22"/>
        </w:rPr>
        <w:t xml:space="preserve">URBROJ: </w:t>
      </w:r>
      <w:r>
        <w:rPr>
          <w:rFonts w:ascii="Calibri" w:hAnsi="Calibri"/>
          <w:i w:val="0"/>
          <w:noProof w:val="1"/>
          <w:sz w:val="22"/>
        </w:rPr>
        <w:t>2140-14-01-24-1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0"/>
          <w:sz w:val="22"/>
        </w:rPr>
      </w:pPr>
      <w:r>
        <w:rPr>
          <w:rFonts w:ascii="Calibri" w:hAnsi="Calibri"/>
          <w:i w:val="0"/>
          <w:noProof w:val="1"/>
          <w:sz w:val="22"/>
        </w:rPr>
        <w:t>Hum</w:t>
      </w:r>
      <w:r>
        <w:rPr>
          <w:rFonts w:ascii="Calibri" w:hAnsi="Calibri"/>
          <w:i w:val="0"/>
          <w:noProof w:val="1"/>
          <w:sz w:val="22"/>
        </w:rPr>
        <w:t xml:space="preserve"> </w:t>
      </w:r>
      <w:r>
        <w:rPr>
          <w:rFonts w:ascii="Calibri" w:hAnsi="Calibri"/>
          <w:i w:val="0"/>
          <w:noProof w:val="1"/>
          <w:sz w:val="22"/>
        </w:rPr>
        <w:t>na</w:t>
      </w:r>
      <w:r>
        <w:rPr>
          <w:rFonts w:ascii="Calibri" w:hAnsi="Calibri"/>
          <w:i w:val="0"/>
          <w:noProof w:val="1"/>
          <w:sz w:val="22"/>
        </w:rPr>
        <w:t xml:space="preserve"> </w:t>
      </w:r>
      <w:r>
        <w:rPr>
          <w:rFonts w:ascii="Calibri" w:hAnsi="Calibri"/>
          <w:i w:val="0"/>
          <w:noProof w:val="1"/>
          <w:sz w:val="22"/>
        </w:rPr>
        <w:t>Sutli</w:t>
      </w:r>
      <w:r>
        <w:rPr>
          <w:rFonts w:ascii="Calibri" w:hAnsi="Calibri"/>
          <w:i w:val="0"/>
          <w:sz w:val="22"/>
        </w:rPr>
        <w:t xml:space="preserve">, </w:t>
      </w:r>
      <w:r>
        <w:rPr>
          <w:rFonts w:ascii="Calibri" w:hAnsi="Calibri"/>
          <w:i w:val="0"/>
          <w:noProof w:val="1"/>
          <w:sz w:val="22"/>
        </w:rPr>
        <w:t>26</w:t>
      </w:r>
      <w:r>
        <w:rPr>
          <w:rFonts w:ascii="Calibri" w:hAnsi="Calibri"/>
          <w:i w:val="0"/>
          <w:noProof w:val="1"/>
          <w:sz w:val="22"/>
        </w:rPr>
        <w:t>.</w:t>
      </w:r>
      <w:r>
        <w:rPr>
          <w:rFonts w:ascii="Calibri" w:hAnsi="Calibri"/>
          <w:i w:val="0"/>
          <w:noProof w:val="1"/>
          <w:sz w:val="22"/>
        </w:rPr>
        <w:t xml:space="preserve"> </w:t>
      </w:r>
      <w:r>
        <w:rPr>
          <w:rFonts w:ascii="Calibri" w:hAnsi="Calibri"/>
          <w:i w:val="0"/>
          <w:noProof w:val="1"/>
          <w:sz w:val="22"/>
        </w:rPr>
        <w:t>lipnja</w:t>
      </w:r>
      <w:r>
        <w:rPr>
          <w:rFonts w:ascii="Calibri" w:hAnsi="Calibri"/>
          <w:i w:val="0"/>
          <w:noProof w:val="1"/>
          <w:sz w:val="22"/>
        </w:rPr>
        <w:t xml:space="preserve"> </w:t>
      </w:r>
      <w:r>
        <w:rPr>
          <w:rFonts w:ascii="Calibri" w:hAnsi="Calibri"/>
          <w:i w:val="0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0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i w:val="0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i w:val="0"/>
          <w:sz w:val="22"/>
        </w:rPr>
      </w:pPr>
      <w:r>
        <w:rPr>
          <w:rFonts w:ascii="Calibri" w:hAnsi="Calibri"/>
          <w:i w:val="0"/>
          <w:sz w:val="22"/>
        </w:rPr>
        <w:t xml:space="preserve">Na temelju članka 72. stavak 1 Zakona o komunalnom gospodarstvu (“Narodne novine” br. 68/18, 110/18, 32/20) i članka 30. Statuta Općine Hum na Sutli ("Službeni glasnik Krapinsko-Zagorske županije" br. 9/21), Općinsko vijeće Općine Hum na Sutli na sjednici održanoj dana 25. lipnja 2024. godine donijelo je</w:t>
      </w:r>
    </w:p>
    <w:p>
      <w:pPr>
        <w:spacing w:lineRule="auto" w:line="240" w:beforeAutospacing="0" w:afterAutospacing="0"/>
        <w:pStyle w:val="P0"/>
        <w:rPr>
          <w:rFonts w:ascii="Calibri" w:hAnsi="Calibri"/>
          <w:i w:val="0"/>
          <w:sz w:val="22"/>
        </w:rPr>
      </w:pPr>
      <w:r>
        <w:rPr>
          <w:rFonts w:ascii="Calibri" w:hAnsi="Calibri"/>
          <w:i w:val="0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i w:val="0"/>
          <w:sz w:val="22"/>
        </w:rPr>
      </w:pPr>
      <w:r>
        <w:rPr>
          <w:rFonts w:ascii="Calibri" w:hAnsi="Calibri"/>
          <w:b w:val="1"/>
          <w:i w:val="0"/>
          <w:sz w:val="22"/>
        </w:rPr>
        <w:t xml:space="preserve">I. Izmjenu i dopunu Programa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i w:val="0"/>
          <w:sz w:val="22"/>
        </w:rPr>
      </w:pPr>
      <w:r>
        <w:rPr>
          <w:rFonts w:ascii="Calibri" w:hAnsi="Calibri"/>
          <w:b w:val="1"/>
          <w:i w:val="0"/>
          <w:sz w:val="22"/>
        </w:rPr>
        <w:t xml:space="preserve">održavanja komunalne infrastrukture za 2024. godinu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i w:val="0"/>
          <w:sz w:val="22"/>
        </w:rPr>
      </w:pPr>
      <w:r>
        <w:rPr>
          <w:rFonts w:ascii="Calibri" w:hAnsi="Calibri"/>
          <w:b w:val="1"/>
          <w:i w:val="0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i w:val="0"/>
          <w:sz w:val="22"/>
        </w:rPr>
      </w:pPr>
      <w:r>
        <w:rPr>
          <w:rFonts w:ascii="Calibri" w:hAnsi="Calibri"/>
          <w:b w:val="1"/>
          <w:i w:val="0"/>
          <w:sz w:val="22"/>
        </w:rPr>
        <w:t xml:space="preserve">Članak 1.</w:t>
      </w:r>
      <w:r>
        <w:rPr>
          <w:rFonts w:ascii="Calibri" w:hAnsi="Calibri"/>
          <w:b w:val="1"/>
          <w:i w:val="0"/>
          <w:sz w:val="22"/>
        </w:rPr>
        <w:t xml:space="preserve"> 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i w:val="0"/>
          <w:sz w:val="22"/>
        </w:rPr>
      </w:pPr>
      <w:r>
        <w:rPr>
          <w:rFonts w:ascii="Calibri" w:hAnsi="Calibri"/>
          <w:i w:val="0"/>
          <w:sz w:val="22"/>
        </w:rPr>
        <w:t xml:space="preserve">U Programu održavanja komunalne infrastrukture za 2024. godinu („Služeni glasnik Krapinsko- zagorske županije“ br. 66A/23) mijenja se članak 2. te glasi:</w:t>
      </w:r>
      <w:r>
        <w:rPr>
          <w:rFonts w:ascii="Calibri" w:hAnsi="Calibri"/>
          <w:i w:val="0"/>
          <w:sz w:val="22"/>
        </w:rPr>
        <w:t xml:space="preserve"> </w:t>
      </w:r>
      <w:r>
        <w:rPr>
          <w:rFonts w:ascii="Calibri" w:hAnsi="Calibri"/>
          <w:i w:val="0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i w:val="0"/>
          <w:sz w:val="22"/>
        </w:rPr>
        <w:t xml:space="preserve">Članak 2.</w:t>
      </w:r>
      <w:r>
        <w:rPr>
          <w:rFonts w:ascii="Calibri" w:hAnsi="Calibri"/>
          <w:sz w:val="22"/>
        </w:rPr>
        <w:tab/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Ovim Programom, a popraćeno financijskim sredstvima Proračuna Općine za 2024. godinu,  predviđaju se slijedeći izvori financiranja: </w:t>
      </w:r>
      <w:r>
        <w:rPr>
          <w:rFonts w:ascii="Calibri" w:hAnsi="Calibri"/>
          <w:sz w:val="22"/>
        </w:rPr>
        <w:t xml:space="preserve"> </w:t>
      </w:r>
    </w:p>
    <w:tbl>
      <w:tblPr>
        <w:tblStyle w:val="T0"/>
        <w:tblInd w:w="0" w:type="dxa"/>
        <w:tblLayout w:type="autofit"/>
        <w:tblW w:w="0" w:type="dxa"/>
      </w:tblPr>
      <w:tblGrid/>
      <w:tr>
        <w:tc>
          <w:tcPr>
            <w:tcW w:w="534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2"/>
              </w:rPr>
              <w:t>redbr.</w:t>
            </w:r>
          </w:p>
        </w:tc>
        <w:tc>
          <w:tcPr>
            <w:tcW w:w="5244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Naziv financiranja</w:t>
            </w:r>
          </w:p>
        </w:tc>
        <w:tc>
          <w:tcPr>
            <w:tcW w:w="1560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2"/>
              </w:rPr>
              <w:t>Program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2"/>
              </w:rPr>
              <w:t xml:space="preserve">Iznos (€)</w:t>
            </w:r>
          </w:p>
        </w:tc>
        <w:tc>
          <w:tcPr>
            <w:tcW w:w="1560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I. izmjena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2"/>
              </w:rPr>
              <w:t xml:space="preserve">Iznos (€)</w:t>
            </w:r>
          </w:p>
        </w:tc>
      </w:tr>
      <w:tr>
        <w:tc>
          <w:tcPr>
            <w:tcW w:w="53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52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Komunalna naknada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318.800,00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318.800,00</w:t>
            </w:r>
          </w:p>
        </w:tc>
      </w:tr>
      <w:tr>
        <w:tc>
          <w:tcPr>
            <w:tcW w:w="53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2.</w:t>
            </w:r>
          </w:p>
        </w:tc>
        <w:tc>
          <w:tcPr>
            <w:tcW w:w="52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Vodni doprinos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1.000,00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1.000,00</w:t>
            </w:r>
          </w:p>
        </w:tc>
      </w:tr>
      <w:tr>
        <w:tc>
          <w:tcPr>
            <w:tcW w:w="53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52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Tekuće pomoći od izvanproračunskih korisnika Državnog proračuna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20.500,00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21.605,85</w:t>
            </w:r>
          </w:p>
        </w:tc>
      </w:tr>
      <w:tr>
        <w:tc>
          <w:tcPr>
            <w:tcW w:w="53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5.</w:t>
            </w:r>
          </w:p>
        </w:tc>
        <w:tc>
          <w:tcPr>
            <w:tcW w:w="52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Naknada za ceste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6.000,00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6.000,00</w:t>
            </w:r>
          </w:p>
        </w:tc>
      </w:tr>
      <w:tr>
        <w:tc>
          <w:tcPr>
            <w:tcW w:w="53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6.</w:t>
            </w:r>
          </w:p>
        </w:tc>
        <w:tc>
          <w:tcPr>
            <w:tcW w:w="52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Opći prihodi i primici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148.700,00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306.580,29</w:t>
            </w:r>
          </w:p>
        </w:tc>
      </w:tr>
      <w:tr>
        <w:tc>
          <w:tcPr>
            <w:tcW w:w="53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7.</w:t>
            </w:r>
          </w:p>
        </w:tc>
        <w:tc>
          <w:tcPr>
            <w:tcW w:w="52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Preneseni višak prihoda poslovanja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200.000,00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113.413,86</w:t>
            </w:r>
          </w:p>
        </w:tc>
      </w:tr>
      <w:tr>
        <w:tc>
          <w:tcPr>
            <w:tcW w:w="53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8.</w:t>
            </w:r>
          </w:p>
        </w:tc>
        <w:tc>
          <w:tcPr>
            <w:tcW w:w="52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Tekuće pomoći iz Državnog proračuna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50.000,00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42.000,00</w:t>
            </w:r>
          </w:p>
        </w:tc>
      </w:tr>
      <w:tr>
        <w:tc>
          <w:tcPr>
            <w:tcW w:w="53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9.</w:t>
            </w:r>
          </w:p>
        </w:tc>
        <w:tc>
          <w:tcPr>
            <w:tcW w:w="52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Kapitalne pomoći iz Krapinsko-zagorske županije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0,00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>140.000,00</w:t>
            </w:r>
          </w:p>
        </w:tc>
      </w:tr>
      <w:tr>
        <w:tc>
          <w:tcPr>
            <w:tcW w:w="534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sz w:val="22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sz w:val="22"/>
              </w:rPr>
              <w:t>UKUPNO: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>745.000,00</w:t>
            </w:r>
          </w:p>
        </w:tc>
        <w:tc>
          <w:tcPr>
            <w:tcW w:w="1560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>939.400,00</w:t>
            </w: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tabs>
          <w:tab w:val="center" w:pos="4819" w:leader="none"/>
          <w:tab w:val="left" w:pos="5835" w:leader="none"/>
        </w:tabs>
        <w:pStyle w:val="P0"/>
        <w:rPr>
          <w:rFonts w:ascii="Times New Roman" w:hAnsi="Times New Roman"/>
          <w:i w:val="0"/>
          <w:sz w:val="24"/>
        </w:rPr>
      </w:pPr>
      <w:r>
        <w:rPr>
          <w:rFonts w:ascii="Calibri" w:hAnsi="Calibri"/>
          <w:b w:val="1"/>
          <w:i w:val="1"/>
          <w:sz w:val="22"/>
        </w:rPr>
        <w:tab/>
      </w:r>
      <w:r>
        <w:rPr>
          <w:rFonts w:ascii="Calibri" w:hAnsi="Calibri"/>
          <w:b w:val="1"/>
          <w:i w:val="0"/>
          <w:sz w:val="22"/>
        </w:rPr>
        <w:t xml:space="preserve">Članak 3.</w:t>
      </w:r>
    </w:p>
    <w:p>
      <w:pPr>
        <w:jc w:val="both"/>
        <w:spacing w:lineRule="auto" w:line="240" w:beforeAutospacing="0" w:afterAutospacing="0"/>
        <w:tabs>
          <w:tab w:val="center" w:pos="4819" w:leader="none"/>
          <w:tab w:val="left" w:pos="5835" w:leader="none"/>
        </w:tabs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 xml:space="preserve">U Programu održavanja komunalne infrastrukture za 2024. godinu („Služeni glasnik Krapinsko- zagorske županije“ br. 66A/23) mijenja se članak 3. te glasi:</w:t>
      </w:r>
      <w:r>
        <w:rPr>
          <w:rFonts w:ascii="Calibri" w:hAnsi="Calibri"/>
          <w:b w:val="1"/>
          <w:i w:val="1"/>
          <w:sz w:val="22"/>
        </w:rPr>
        <w:t xml:space="preserve"> </w:t>
      </w:r>
    </w:p>
    <w:tbl>
      <w:tblPr>
        <w:tblStyle w:val="T0"/>
        <w:tblInd w:w="0" w:type="dxa"/>
        <w:tblLayout w:type="autofit"/>
        <w:tblW w:w="0" w:type="dxa"/>
      </w:tblPr>
      <w:tblGrid/>
      <w:tr>
        <w:tc>
          <w:tcPr>
            <w:tcW w:w="551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>redbr.</w:t>
            </w:r>
          </w:p>
        </w:tc>
        <w:tc>
          <w:tcPr>
            <w:tcW w:w="7477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>Djelatnost</w:t>
            </w:r>
          </w:p>
        </w:tc>
        <w:tc>
          <w:tcPr>
            <w:tcW w:w="1578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Program  Iznos (€)</w:t>
            </w:r>
          </w:p>
        </w:tc>
        <w:tc>
          <w:tcPr>
            <w:tcW w:w="1559" w:type="dxa"/>
            <w:tcBorders>
              <w:top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I. izmjena Iznos (€)</w:t>
            </w:r>
          </w:p>
        </w:tc>
      </w:tr>
      <w:tr>
        <w:tc>
          <w:tcPr>
            <w:tcW w:w="551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>1.</w:t>
            </w:r>
          </w:p>
        </w:tc>
        <w:tc>
          <w:tcPr>
            <w:tcW w:w="747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Održavanje čistoće javnih površina - vršit će se prema Programu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čišćenje javnih površina u centru Huma na Sutli - dva puta tjedno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oko stambeno poslovnih zgrada kćbr. 157., 158., 159. i 160., asfaltna površina od graničnog prijelaza do OŠ, parkirališta i površina kod graničnog prijelaza,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nogostupa i prometnica od Vetropack Straže do centra Huma na Sutli i do Doma zdravlja,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nogostupa i prometnica od centra Huma na Sutli – radiona IMPSO – Starček.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asfaltna površina od tržnice do ulaza u dječji vrtić,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zelene površine uz spomenute površine u širini od pet metara s obje strane (isključene privatne površine),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čišćenje odnosno pražnjenje koševa za otpatke - dva puta tjedno,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-za vrijeme trajanja školske godine pražnjenje koševa za otpatke i skupljanje smeća vršit će se svakim radnim danom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*čišćenje autobusnih stajališta jednom tjedno, košnja trave 4-5 puta godišnje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čišćenje eko-otoka jednom tjedno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čišćenje asfaltnih površina - jednom mjesečno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raskršće Hum na Sutli - Lastine - Druškovec te slijedeći odvojci cesta u dužini od 50 metara: prema Humu na Sutli, prema Druškovcu, prema Lastinama, prema Vrbišnici,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nogostup i prometnica od Sekušaka do raskršća za OMCO i cesta uz stambene zgrade kćbr. 154., 155. i 156.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nogostup od Doma kulture do Leskovog Grma -Irgeher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nogostup u Klenovcu Humskom od Čuček Stanka do raskršća za Vulicu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nogostup Gornji Hum – Lastine – Mali Tabor – Prišlin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nogostup u Prišlinu uz D229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nogostup Prišlin – Poredje (Pildek)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nogostup Poredje (Bračun) – skretanje za Zalug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nogostup Druškovec (D206) – Područna škola Druškovec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nogostup Lupinjak – od benzinske do kapelice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čišćenje javno – prometnih površina do crkvi Taborsko (od groblja do crkve), Prišlin (raskršće oko crkve) i Lastine (od D206 do odvojka za nogometno igralište)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čišćenje dječjeg igrališta VETRO-PARK - u periodu od 15.06. do 01.09., tj. dva puta tjedno.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košnja trave na općinskoj parceli u Brezno Donjem 47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čišćenje asfaltnih površina i slivnika od sipine od zimskog posipavanja cesta - jednom godišnje tijekom ožujka/travnja.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sol i sipina za zimsku službu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zimsko čišćenje i posipavanje nerazvrstanih cesta, uklanjanje snijega sa parkirališta, prilaza školama, mrtvačnicama, vatrogasnim domovima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z w:val="22"/>
              </w:rPr>
              <w:tab/>
            </w:r>
            <w:r>
              <w:rPr>
                <w:rFonts w:ascii="Calibri" w:hAnsi="Calibri"/>
                <w:sz w:val="22"/>
              </w:rPr>
              <w:tab/>
            </w:r>
          </w:p>
        </w:tc>
        <w:tc>
          <w:tcPr>
            <w:tcW w:w="157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 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 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40.000,00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10.000,00 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4.000,00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  <w:u w:val="single"/>
              </w:rPr>
              <w:t>40.000,00</w:t>
            </w:r>
            <w:r>
              <w:rPr>
                <w:rFonts w:ascii="Calibri" w:hAnsi="Calibri"/>
                <w:sz w:val="22"/>
                <w:u w:val="single"/>
              </w:rPr>
              <w:tab/>
            </w:r>
            <w:r>
              <w:rPr>
                <w:rFonts w:ascii="Calibri" w:hAnsi="Calibri"/>
                <w:sz w:val="22"/>
                <w:u w:val="single"/>
              </w:rPr>
              <w:t xml:space="preserve"> </w:t>
            </w:r>
            <w:r>
              <w:rPr>
                <w:rFonts w:ascii="Calibri" w:hAnsi="Calibri"/>
                <w:sz w:val="22"/>
                <w:u w:val="single"/>
              </w:rPr>
              <w:tab/>
            </w:r>
          </w:p>
          <w:p>
            <w:pPr>
              <w:jc w:val="right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  <w:r>
              <w:rPr>
                <w:rFonts w:ascii="Calibri" w:hAnsi="Calibri"/>
                <w:b w:val="1"/>
                <w:i w:val="1"/>
                <w:sz w:val="22"/>
              </w:rPr>
              <w:t>94.000</w:t>
            </w:r>
            <w:r>
              <w:rPr>
                <w:rFonts w:ascii="Calibri" w:hAnsi="Calibri"/>
                <w:b w:val="1"/>
                <w:i w:val="1"/>
                <w:sz w:val="22"/>
              </w:rPr>
              <w:t>,00</w:t>
            </w:r>
          </w:p>
        </w:tc>
        <w:tc>
          <w:tcPr>
            <w:tcW w:w="155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40.000,00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10.000,00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4.000,00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  <w:u w:val="single"/>
              </w:rPr>
              <w:t>40.000,00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>94.000,00</w:t>
            </w:r>
          </w:p>
        </w:tc>
      </w:tr>
      <w:tr>
        <w:tc>
          <w:tcPr>
            <w:tcW w:w="551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>2.</w:t>
            </w:r>
          </w:p>
        </w:tc>
        <w:tc>
          <w:tcPr>
            <w:tcW w:w="747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Održavanje javnih površina – vršit će se prema Programu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košnja trave 4 – 5 puta godišnje,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- čišćenje zelenih površina od lišća – 2 puta godišnje</w:t>
            </w:r>
          </w:p>
        </w:tc>
        <w:tc>
          <w:tcPr>
            <w:tcW w:w="157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>25.000,00</w:t>
            </w:r>
          </w:p>
        </w:tc>
        <w:tc>
          <w:tcPr>
            <w:tcW w:w="155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>25.000,00</w:t>
            </w:r>
          </w:p>
        </w:tc>
      </w:tr>
      <w:tr>
        <w:tc>
          <w:tcPr>
            <w:tcW w:w="551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>3.</w:t>
            </w:r>
          </w:p>
        </w:tc>
        <w:tc>
          <w:tcPr>
            <w:tcW w:w="747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Održavanje nerazvrstanih cesta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rekonstrukcija (presvlačenje) oštećenih dionica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obuhvaća redovno održavanje općinskih cesta u pogledu kamenog materijala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prijevoz kamenog materijala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 redovno održavanje cesta: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- sanacija i popravak nerazvrstanih cesta prema programu održavanja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- sanacija bankina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- sanacija pješačkih staza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- čišćenje slivnika dva puta godišnje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- čišćenje odvodnih jaraka i sanacija propusta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 košnja trave i sjeća granja uz bankine vršiti 2 puta godišnje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prometna signalizacija (nabava prometnih znakova uz nerazvrstane ceste, iscrtavanje vertikalne signalizacije; nabava tabli s nazivima sela uz državne i županijske ceste; nabava prometnih ogledala, popravak prometnih znakova)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 osiguranje cesta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 nabava betonskih i PVC cijevi 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 sanacija klizišta</w:t>
            </w:r>
          </w:p>
          <w:p>
            <w:pPr>
              <w:jc w:val="both"/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  <w:tc>
          <w:tcPr>
            <w:tcW w:w="157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200.000,00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  12.000,00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1.000,00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150.000,00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30.000,00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6.000,00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4.000,00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3.000,00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  <w:u w:val="single"/>
              </w:rPr>
              <w:t>100.000,00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>506.000,00</w:t>
            </w:r>
          </w:p>
        </w:tc>
        <w:tc>
          <w:tcPr>
            <w:tcW w:w="155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247.000,00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12.000,00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1.000,00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150.000,00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30.000,00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6.000,00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4.000,00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3.000,00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  <w:u w:val="single"/>
              </w:rPr>
              <w:t>100.000,00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>553.000,00</w:t>
            </w:r>
          </w:p>
        </w:tc>
      </w:tr>
      <w:tr>
        <w:tc>
          <w:tcPr>
            <w:tcW w:w="551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>4.</w:t>
            </w:r>
          </w:p>
        </w:tc>
        <w:tc>
          <w:tcPr>
            <w:tcW w:w="747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Javna rasvjeta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troškovi utrošene električne energije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troškovi održavanja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 xml:space="preserve">* racionalizacija javne rasvjete</w:t>
            </w:r>
          </w:p>
        </w:tc>
        <w:tc>
          <w:tcPr>
            <w:tcW w:w="157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35.000,00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15.000,00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  <w:u w:val="single"/>
              </w:rPr>
              <w:t>20.000,00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>70.000,00</w:t>
            </w:r>
          </w:p>
        </w:tc>
        <w:tc>
          <w:tcPr>
            <w:tcW w:w="155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35.000,00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</w:rPr>
              <w:t>22.400,00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sz w:val="22"/>
                <w:u w:val="single"/>
              </w:rPr>
              <w:t>20.000,00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>77.400,00</w:t>
            </w:r>
          </w:p>
        </w:tc>
      </w:tr>
      <w:tr>
        <w:tc>
          <w:tcPr>
            <w:tcW w:w="551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>5.</w:t>
            </w:r>
          </w:p>
        </w:tc>
        <w:tc>
          <w:tcPr>
            <w:tcW w:w="747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Održavanje groblja</w:t>
            </w:r>
          </w:p>
        </w:tc>
        <w:tc>
          <w:tcPr>
            <w:tcW w:w="157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>50.000,00</w:t>
            </w:r>
          </w:p>
        </w:tc>
        <w:tc>
          <w:tcPr>
            <w:tcW w:w="155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>50.000,00</w:t>
            </w:r>
          </w:p>
        </w:tc>
      </w:tr>
      <w:tr>
        <w:tc>
          <w:tcPr>
            <w:tcW w:w="551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>6.</w:t>
            </w:r>
          </w:p>
        </w:tc>
        <w:tc>
          <w:tcPr>
            <w:tcW w:w="747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Sanacije pogodovane prirodnom nepogodom</w:t>
            </w:r>
          </w:p>
        </w:tc>
        <w:tc>
          <w:tcPr>
            <w:tcW w:w="157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>0,00</w:t>
            </w:r>
          </w:p>
        </w:tc>
        <w:tc>
          <w:tcPr>
            <w:tcW w:w="155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>140.000,00</w:t>
            </w:r>
          </w:p>
        </w:tc>
      </w:tr>
      <w:tr>
        <w:tc>
          <w:tcPr>
            <w:tcW w:w="551" w:type="dxa"/>
            <w:tcBorders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</w:tc>
        <w:tc>
          <w:tcPr>
            <w:tcW w:w="7477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spacing w:lineRule="auto" w:line="240" w:beforeAutospacing="0" w:afterAutospacing="0"/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>SVEUKUPNO:</w:t>
            </w:r>
          </w:p>
        </w:tc>
        <w:tc>
          <w:tcPr>
            <w:tcW w:w="1578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 xml:space="preserve">745.000,00 </w:t>
            </w:r>
          </w:p>
        </w:tc>
        <w:tc>
          <w:tcPr>
            <w:tcW w:w="1559" w:type="dxa"/>
            <w:tcBorders>
              <w:bottom w:val="single" w:sz="6" w:space="0" w:shadow="0" w:frame="0"/>
              <w:right w:val="single" w:sz="6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Calibri" w:hAnsi="Calibri"/>
                <w:b w:val="1"/>
                <w:i w:val="1"/>
                <w:sz w:val="22"/>
              </w:rPr>
              <w:t xml:space="preserve"> </w:t>
            </w:r>
          </w:p>
          <w:p>
            <w:pPr>
              <w:jc w:val="right"/>
              <w:spacing w:lineRule="auto" w:line="240" w:beforeAutospacing="0" w:afterAutospacing="0"/>
              <w:tabs>
                <w:tab w:val="center" w:pos="4819" w:leader="none"/>
                <w:tab w:val="left" w:pos="5835" w:leader="none"/>
              </w:tabs>
              <w:pStyle w:val="P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Calibri" w:hAnsi="Calibri"/>
                <w:b w:val="1"/>
                <w:i w:val="1"/>
                <w:sz w:val="22"/>
              </w:rPr>
              <w:t>939.400,00</w:t>
            </w:r>
          </w:p>
        </w:tc>
      </w:tr>
    </w:tbl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b w:val="1"/>
          <w:i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b w:val="1"/>
          <w:i w:val="1"/>
          <w:sz w:val="22"/>
        </w:rPr>
      </w:pPr>
      <w:r>
        <w:rPr>
          <w:rFonts w:ascii="Calibri" w:hAnsi="Calibri"/>
          <w:b w:val="1"/>
          <w:i w:val="1"/>
          <w:sz w:val="22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b w:val="1"/>
          <w:i w:val="1"/>
          <w:sz w:val="22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b w:val="1"/>
          <w:i w:val="0"/>
          <w:sz w:val="22"/>
        </w:rPr>
        <w:t xml:space="preserve">Članak 4.</w:t>
      </w:r>
      <w:r>
        <w:rPr>
          <w:rFonts w:ascii="Calibri" w:hAnsi="Calibri"/>
          <w:sz w:val="24"/>
        </w:rPr>
        <w:t xml:space="preserve"> </w:t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Ovaj Program održavanja komunalne infrastrukture za 2024. godinu objaviti će se u "Službenom glasniku Krapinsko-zagorske županije”.</w:t>
      </w:r>
      <w:r>
        <w:rPr>
          <w:rFonts w:ascii="Calibri" w:hAnsi="Calibri"/>
          <w:sz w:val="22"/>
        </w:rPr>
        <w:tab/>
      </w:r>
    </w:p>
    <w:p>
      <w:pPr>
        <w:jc w:val="both"/>
        <w:spacing w:lineRule="auto" w:line="240" w:beforeAutospacing="0" w:afterAutospacing="0"/>
        <w:ind w:firstLine="72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ind w:firstLine="720"/>
        <w:pStyle w:val="P0"/>
        <w:rPr>
          <w:rFonts w:ascii="Times New Roman" w:hAnsi="Times New Roman"/>
          <w:sz w:val="24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 </w:t>
      </w:r>
    </w:p>
    <w:p>
      <w:pPr>
        <w:spacing w:lineRule="auto" w:line="240" w:after="0" w:beforeAutospacing="0" w:afterAutospacing="0"/>
        <w:ind w:firstLine="720" w:left="4320"/>
        <w:pStyle w:val="P0"/>
        <w:rPr>
          <w:rFonts w:ascii="Times New Roman" w:hAnsi="Times New Roman"/>
          <w:b w:val="1"/>
          <w:sz w:val="24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 w:val="1"/>
          <w:sz w:val="22"/>
        </w:rPr>
        <w:t xml:space="preserve">PREDSJEDNIK </w:t>
      </w:r>
      <w:r>
        <w:rPr>
          <w:rFonts w:ascii="Calibri" w:hAnsi="Calibri"/>
          <w:b w:val="1"/>
          <w:sz w:val="22"/>
        </w:rPr>
        <w:t xml:space="preserve">OPĆINSKOG VIJEĆA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</w:t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ab/>
      </w:r>
      <w:r>
        <w:rPr>
          <w:rFonts w:ascii="Calibri" w:hAnsi="Calibri"/>
          <w:b w:val="1"/>
          <w:sz w:val="22"/>
        </w:rPr>
        <w:t xml:space="preserve">      Mario Antonić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16"/>
        </w:rPr>
        <w:t>DOSTAVITI:</w:t>
      </w:r>
    </w:p>
    <w:p>
      <w:pPr>
        <w:spacing w:lineRule="auto" w:line="240" w:after="0" w:beforeAutospacing="0" w:afterAutospacing="0"/>
        <w:pStyle w:val="P0"/>
        <w:rPr>
          <w:sz w:val="16"/>
        </w:rPr>
      </w:pPr>
      <w:r>
        <w:rPr>
          <w:rFonts w:ascii="Times New Roman" w:hAnsi="Times New Roman"/>
          <w:noProof w:val="1"/>
          <w:sz w:val="16"/>
        </w:rPr>
        <w:t>1</w:t>
      </w:r>
      <w:r>
        <w:rPr>
          <w:rFonts w:ascii="Times New Roman" w:hAnsi="Times New Roman"/>
          <w:noProof w:val="1"/>
          <w:sz w:val="16"/>
        </w:rPr>
        <w:t>.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noProof w:val="1"/>
          <w:sz w:val="16"/>
        </w:rPr>
        <w:t>SLUŽBENI</w:t>
      </w:r>
      <w:r>
        <w:rPr>
          <w:rFonts w:ascii="Times New Roman" w:hAnsi="Times New Roman"/>
          <w:noProof w:val="1"/>
          <w:sz w:val="16"/>
        </w:rPr>
        <w:t xml:space="preserve"> </w:t>
      </w:r>
      <w:r>
        <w:rPr>
          <w:rFonts w:ascii="Times New Roman" w:hAnsi="Times New Roman"/>
          <w:sz w:val="16"/>
        </w:rPr>
        <w:t xml:space="preserve">GLASNIK KRAPINSKO-ZAGORSKE ŽUPANIJE, Magistratska 1, KRAPINA, 49000</w:t>
      </w: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2024-07-01T07:43:11Z</dcterms:created>
  <dcterms:modified xsi:type="dcterms:W3CDTF">2024-07-01T07:43:11Z</dcterms:modified>
</cp:coreProperties>
</file>