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0"/>
        </w:rPr>
        <w:t xml:space="preserve">Temeljem Zakona o socijalnoj skrbi („Narodne novine“ br. 18/22, 46/22, 119/22, 71/23), članka 2. Odluke o socijalnoj skrbi općine Hum na Sutli („Službeni glasnik Krapinsko-zagorske županije“ br. 17/12, 27/13, 51/22)  i članka 30. Statuta Općine Hum na Sutli («Službeni glasnik Krapinsko-zagorske županije» br. 9/21), općinsko vijeće  Općine Hum na Sutli na sjednici održanoj dana 16. prosinca2024. godine donijelo je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Izmjenu Socijalnog programa Općine Hum na Sutli za 2024. godinu</w:t>
      </w:r>
    </w:p>
    <w:p>
      <w:pPr>
        <w:jc w:val="center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Članak 2. Socijalnog programa općine Hum na Sutli za 2024. godinu  („Službeni glasnik Krapinsko-zagorske županije„ br. 66A/23) mijenja se i glasi: 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Opis</w:t>
            </w:r>
          </w:p>
        </w:tc>
        <w:tc>
          <w:tcPr>
            <w:tcW w:w="154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Plan 2023. (€)</w:t>
            </w:r>
          </w:p>
        </w:tc>
        <w:tc>
          <w:tcPr>
            <w:tcW w:w="154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Plan 2024. (€)</w:t>
            </w:r>
          </w:p>
        </w:tc>
        <w:tc>
          <w:tcPr>
            <w:tcW w:w="154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2025. (€)</w:t>
            </w:r>
          </w:p>
        </w:tc>
        <w:tc>
          <w:tcPr>
            <w:tcW w:w="154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2026.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vanish w:val="1"/>
          <w:sz w:val="24"/>
        </w:rPr>
        <w:t xml:space="preserve"> </w:t>
      </w:r>
    </w:p>
    <w:tbl>
      <w:tblPr>
        <w:tblStyle w:val="T0"/>
        <w:tblInd w:w="0" w:type="dxa"/>
        <w:tblLayout w:type="fixed"/>
        <w:tblW w:w="9060" w:type="dxa"/>
      </w:tblPr>
      <w:tblGrid/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100001 ZBRINJAVANJE SOCIJALNO UGROŽENIH 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372121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socijalno ugroženim u novcu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2.500,00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37223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Stanovanje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3.000,00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2.000,00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2.000,00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372124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Pogrebni troškovi socijalno ugroženih osoba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1.330,00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372190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Ostale socijalne potpore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9.108,00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7.500,00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7.000,00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7.000,00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372242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Prehrana, odjeća i obuća socijalno ugroženim osobama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5.75,00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2.850,00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4.350,00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711. PRIHODI OD PRODAJE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372242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Prehrana, odjeća i obuća socijalno ugroženim osobama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4.050,00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2.250,00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2.150,00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650,00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100002 OSTALE POMOĆI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372123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novorođenim Humčankama i Humčanima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27.000,00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27.000,00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27.000,00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27.000,00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372129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obiteljima i kućanstvima – sufinanciranje zbrinjavanja otpada za stambene zgrade – salonitne loče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34.100,00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372128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elementarno ugroženim osobama-elementarne nepogode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6.000,00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6.000,00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6.000,00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6.000,00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100003 STIPENDIJE I PRIJEVOZ UČENIKA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37215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Stipendije, nagrade učenicima i studentima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52.000,00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 50.000,00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43.000,00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43.000,00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37221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Sufinanciranje cijene prijevoza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27.000,00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25.000,00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24.000,00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24.000,00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372291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Pokloni djeci za Božić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11.000,00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13.000,00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9.500,00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9.500,00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100005 JEDNOKRATNE POMOĆI UMIROVLJENICIMA - BOŽIĆNICA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372294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Poklon umirovljenicima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12.500,00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32.000,00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10.000,00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10.000,00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372295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Božićnica – prigodan dar onkološkim pacijentima 2024.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5.000,00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100007 SUFINANCIRANJE NABAVKE UDŽBENIKA/RADNIH BILJEŽNICA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37229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Ostale naknade iz proračuna u naravi – sufinanciranje nabavke radnih bilježnica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11.550,00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11.085,00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100007 SUFINANCIRANJE NABAVKE UDŽBENIKA/RADNIH BILJEŽNICA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43. PRIHODI ZA POSEBNE NAMJENE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37229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Ostale naknade iz proračuna u naravi – sufinanciranje nabavke radnih bilježnica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9.890,76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11.085,00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11.000,00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100009 MJERA ZA POMOĆ PRI RJEŠAVANJU STAMBENOG PITANJA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372126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obiteljima i kućanstvima – mjere za pomoć pri rješavanju stambenog pitanja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24.670,00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53.000,00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56.000,00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56.000,00</w:t>
            </w:r>
          </w:p>
        </w:tc>
      </w:tr>
      <w:tr>
        <w:tc>
          <w:tcPr>
            <w:tcW w:w="9060" w:type="dxa"/>
            <w:gridSpan w:val="9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100010 MJERA ZA POMOĆ PRI RJEŠAVANJU STAMBENOG PITANJA</w:t>
            </w:r>
          </w:p>
        </w:tc>
      </w:tr>
      <w:tr>
        <w:tc>
          <w:tcPr>
            <w:tcW w:w="31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11. OPĆI PRIHODI I PRIMICI </w:t>
            </w:r>
          </w:p>
        </w:tc>
        <w:tc>
          <w:tcPr>
            <w:tcW w:w="148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96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0"/>
              </w:rPr>
              <w:t>372126</w:t>
            </w:r>
          </w:p>
        </w:tc>
        <w:tc>
          <w:tcPr>
            <w:tcW w:w="221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Pomoć obiteljima i kućanstvima – mjere za pomoć pri rješavanju stambenog pitanja – adaptacija stambenog prostora </w:t>
            </w:r>
          </w:p>
        </w:tc>
        <w:tc>
          <w:tcPr>
            <w:tcW w:w="146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20.000,00</w:t>
            </w:r>
          </w:p>
        </w:tc>
        <w:tc>
          <w:tcPr>
            <w:tcW w:w="1466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25.000,00</w:t>
            </w:r>
          </w:p>
        </w:tc>
        <w:tc>
          <w:tcPr>
            <w:tcW w:w="1480" w:type="dxa"/>
            <w:gridSpan w:val="3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0"/>
              </w:rPr>
              <w:t>25.000,00</w:t>
            </w:r>
          </w:p>
        </w:tc>
      </w:tr>
      <w:tr>
        <w:tc>
          <w:tcPr>
            <w:tcW w:w="9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0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0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Točka 2.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Ove izmjene Programa će se objaviti u «Službenom glasniku Krapinsko-zagorske županije».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both"/>
        <w:spacing w:lineRule="auto" w:line="240" w:before="0" w:after="0" w:beforeAutospacing="0" w:afterAutospacing="0"/>
        <w:ind w:firstLine="708" w:left="3828" w:right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</w:t>
      </w:r>
      <w:r>
        <w:rPr>
          <w:rFonts w:ascii="Calibri" w:hAnsi="Calibri"/>
          <w:b w:val="1"/>
          <w:sz w:val="22"/>
        </w:rPr>
        <w:t xml:space="preserve">PREDSJEDNIK  OPĆINSKOG VIJEĆA</w:t>
      </w:r>
    </w:p>
    <w:p>
      <w:pPr>
        <w:jc w:val="both"/>
        <w:spacing w:lineRule="auto" w:line="240" w:after="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  <w:tab/>
        <w:t xml:space="preserve"> </w:t>
        <w:tab/>
        <w:tab/>
        <w:tab/>
        <w:t xml:space="preserve"> </w:t>
        <w:tab/>
        <w:tab/>
        <w:tab/>
        <w:t xml:space="preserve">Mario Antonić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2024-12-23T08:24:49Z</dcterms:created>
  <dcterms:modified xsi:type="dcterms:W3CDTF">2024-12-23T08:24:49Z</dcterms:modified>
</cp:coreProperties>
</file>