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400-01/24-01/37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2140-14-01-24-5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16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prosinca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Na temelju članka 111. Zakona o zaštiti i očuvanju kulturnih dobara („Narodne novine“ br. 69/99, 151/03, 157/03, 100/04, 87/09, 88/10, 61/11, 25/12, 136/12, 157/13, 152/14, 98/15, 44/17, 90/18, 32/20, 62/20,  117/21, 114/22) i članka 30. Statuta Općine Hum na Sutli („Službeni glasnik Krapinsko-zagorske županije“ br. 9/21) općinsko vijeće Općine Hum na Sutli na sjednici održanoj  16. prosinca 2024. godine donijelo je slijedeći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P R O G R A M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korištenja sredstava ostvarenih od spomeničke rente za 2025. godinu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>I.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Ovim Programom korištenja sredstava ostvarenih od spomeničke rente za 2025. godinu (u daljnjem tekstu: Program) utvrđuje se namjena trošenja sredstava ostvarenih kao prihod Proračuna općine Hum na Sutli za 2025. godinu po osnovi spomeničke rente.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color w:val="000000"/>
          <w:sz w:val="20"/>
        </w:rPr>
        <w:t xml:space="preserve">Programom korištenja sredstava ostvarenih od spomeničke rente obuhvaćeno je financiranje:</w:t>
      </w:r>
    </w:p>
    <w:tbl>
      <w:tblPr>
        <w:tblStyle w:val="T0"/>
        <w:tblInd w:w="0" w:type="dxa"/>
        <w:tblLayout w:type="autofit"/>
        <w:tblW w:w="9631" w:type="dxa"/>
      </w:tblPr>
      <w:tblGrid/>
      <w:tr>
        <w:tc>
          <w:tcPr>
            <w:tcW w:w="154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>Konto</w:t>
            </w:r>
          </w:p>
        </w:tc>
        <w:tc>
          <w:tcPr>
            <w:tcW w:w="184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>Opis</w:t>
            </w:r>
          </w:p>
        </w:tc>
        <w:tc>
          <w:tcPr>
            <w:tcW w:w="195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Plan 2025. (€)</w:t>
            </w:r>
          </w:p>
        </w:tc>
        <w:tc>
          <w:tcPr>
            <w:tcW w:w="1878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Projekcija 2026. (€)</w:t>
            </w:r>
          </w:p>
        </w:tc>
        <w:tc>
          <w:tcPr>
            <w:tcW w:w="2409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center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Projekcija 2027. (€)</w:t>
            </w:r>
          </w:p>
        </w:tc>
      </w:tr>
    </w:tbl>
    <w:p>
      <w:pPr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</w:p>
    <w:tbl>
      <w:tblPr>
        <w:tblStyle w:val="T0"/>
        <w:tblInd w:w="0" w:type="dxa"/>
        <w:tblLayout w:type="fixed"/>
        <w:tblW w:w="9631" w:type="dxa"/>
      </w:tblPr>
      <w:tblGrid/>
      <w:tr>
        <w:tc>
          <w:tcPr>
            <w:tcW w:w="9631" w:type="dxa"/>
            <w:gridSpan w:val="7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>64236</w:t>
            </w:r>
            <w:r>
              <w:rPr>
                <w:rFonts w:ascii="Calibri" w:hAnsi="Calibri"/>
                <w:b w:val="1"/>
                <w:color w:val="000000"/>
                <w:sz w:val="20"/>
              </w:rPr>
              <w:tab/>
            </w: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 Spomenička renta</w:t>
            </w:r>
            <w:r>
              <w:rPr>
                <w:rFonts w:ascii="Calibri" w:hAnsi="Calibri"/>
                <w:b w:val="1"/>
                <w:color w:val="000000"/>
                <w:sz w:val="20"/>
              </w:rPr>
              <w:tab/>
            </w:r>
            <w:r>
              <w:rPr>
                <w:rFonts w:ascii="Calibri" w:hAnsi="Calibri"/>
                <w:b w:val="1"/>
                <w:color w:val="000000"/>
                <w:sz w:val="20"/>
              </w:rPr>
              <w:tab/>
            </w: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 </w:t>
            </w:r>
            <w:r>
              <w:rPr>
                <w:rFonts w:ascii="Calibri" w:hAnsi="Calibri"/>
                <w:b w:val="1"/>
                <w:color w:val="000000"/>
                <w:sz w:val="20"/>
              </w:rPr>
              <w:tab/>
            </w:r>
          </w:p>
        </w:tc>
      </w:tr>
      <w:tr>
        <w:tc>
          <w:tcPr>
            <w:tcW w:w="9631" w:type="dxa"/>
            <w:gridSpan w:val="7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Aktivnost A100005 INSTITUT ZA ARHEOLOGIJU</w:t>
            </w:r>
          </w:p>
        </w:tc>
      </w:tr>
      <w:tr>
        <w:tc>
          <w:tcPr>
            <w:tcW w:w="5366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IZVOR 42. SPOMENIČKA RENTA </w:t>
            </w:r>
          </w:p>
        </w:tc>
        <w:tc>
          <w:tcPr>
            <w:tcW w:w="1493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 </w:t>
            </w:r>
          </w:p>
        </w:tc>
        <w:tc>
          <w:tcPr>
            <w:tcW w:w="107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bottom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 </w:t>
            </w:r>
          </w:p>
        </w:tc>
        <w:tc>
          <w:tcPr>
            <w:tcW w:w="62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 xml:space="preserve"> </w:t>
            </w:r>
          </w:p>
        </w:tc>
      </w:tr>
      <w:tr>
        <w:tc>
          <w:tcPr>
            <w:tcW w:w="1225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color w:val="000000"/>
                <w:sz w:val="20"/>
              </w:rPr>
              <w:t>381199</w:t>
            </w:r>
          </w:p>
        </w:tc>
        <w:tc>
          <w:tcPr>
            <w:tcW w:w="4263" w:type="dxa"/>
            <w:gridSpan w:val="2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both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Donacija Institutu za arheologiju</w:t>
            </w:r>
          </w:p>
        </w:tc>
        <w:tc>
          <w:tcPr>
            <w:tcW w:w="1371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0"/>
              </w:rPr>
              <w:t>10,00</w:t>
            </w:r>
          </w:p>
        </w:tc>
        <w:tc>
          <w:tcPr>
            <w:tcW w:w="107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0"/>
              </w:rPr>
              <w:t>10,00</w:t>
            </w:r>
          </w:p>
        </w:tc>
        <w:tc>
          <w:tcPr>
            <w:tcW w:w="1064" w:type="dxa"/>
            <w:tcBorders>
              <w:top w:val="single" w:sz="6" w:space="0" w:shadow="0" w:frame="0"/>
              <w:bottom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color w:val="000000"/>
                <w:sz w:val="20"/>
              </w:rPr>
              <w:t>10,00</w:t>
            </w:r>
          </w:p>
        </w:tc>
        <w:tc>
          <w:tcPr>
            <w:tcW w:w="62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top"/>
          </w:tcPr>
          <w:p>
            <w:pPr>
              <w:jc w:val="right"/>
              <w:spacing w:lineRule="auto" w:line="240" w:after="16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c>
          <w:tcPr>
            <w:tcW w:w="12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41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37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07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1064" w:type="dxa"/>
            <w:tcBorders>
              <w:top w:val="single" w:sz="6" w:space="0" w:shadow="0" w:fram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  <w:tc>
          <w:tcPr>
            <w:tcW w:w="62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>III.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Financijska sredstva iz članka II. Programa korištenja sredstava ostvarenih od spomeničke rente za 2025. godinu osiguravaju se u Proračunu Općine Hum na Sutli za 2025. godinu. Sredstva su osigurana u Programu 1008 Donacije društva i organizacije u razdjelu 001 Opće javne usluge. 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>IV.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Ovaj Program objvljuje se u „Službenom glasniku Krapinsko-zagorske županije“.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 w:left="3544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 xml:space="preserve">PREDSJEDNIK OPĆINSKOG VIJEĆA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3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2024-12-23T08:00:40Z</dcterms:created>
  <dcterms:modified xsi:type="dcterms:W3CDTF">2024-12-23T08:00:40Z</dcterms:modified>
</cp:coreProperties>
</file>