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Na temelju članka 27. stavka 1.  Zakona o prodaji stanova na kojima postoji stanarsko pravo («Narodne novine» broj 43/92-pročišćen tekst, 69/92., 25/93., 26/93., 48/93., 2/94., 29/94., 44/94., 47/94., 58/95., 103/95, 11/96., 11/97., 68/98., 163/98, 22/99,  96/99., 120/00,  94/01. i 78/02.) i članka 30. Statuta Općine Hum na Sutli («Službeni glasnik Krapinsko-zagorske županije» br. 9/21) općinsko vijeće Općine Hum na Sutli na sjednici održanoj 16. prosinca 2024. godine donijelo je slijedeći </w:t>
      </w: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>PROGRAM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b w:val="1"/>
          <w:sz w:val="20"/>
        </w:rPr>
        <w:t xml:space="preserve">         korištenja sredstava ostvarenih od prodaje stanova na kojima postoji stanarsko pravo</w:t>
      </w:r>
      <w:r>
        <w:rPr>
          <w:rFonts w:ascii="Calibri" w:hAnsi="Calibri"/>
          <w:b w:val="1"/>
          <w:sz w:val="20"/>
        </w:rPr>
        <w:t xml:space="preserve"> u 2025. godini</w:t>
      </w:r>
    </w:p>
    <w:p>
      <w:pPr>
        <w:jc w:val="center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2"/>
        </w:rPr>
        <w:t xml:space="preserve">Programom korištenja sredstava ostvarenih od prodaje stanova na kojima postoji stanarsko pravo  obuhvaćen</w:t>
      </w:r>
      <w:r>
        <w:rPr>
          <w:rFonts w:ascii="Calibri" w:hAnsi="Calibri"/>
          <w:sz w:val="20"/>
        </w:rPr>
        <w:t xml:space="preserve">o je financiranje: </w:t>
      </w:r>
    </w:p>
    <w:tbl>
      <w:tblPr>
        <w:tblStyle w:val="T0"/>
        <w:tblInd w:w="0" w:type="dxa"/>
        <w:tblLayout w:type="fixed"/>
        <w:tblW w:w="9057" w:type="dxa"/>
      </w:tblPr>
      <w:tblGrid/>
      <w:tr>
        <w:tc>
          <w:tcPr>
            <w:tcW w:w="154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Konto</w:t>
            </w:r>
          </w:p>
        </w:tc>
        <w:tc>
          <w:tcPr>
            <w:tcW w:w="154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Opis</w:t>
            </w:r>
          </w:p>
        </w:tc>
        <w:tc>
          <w:tcPr>
            <w:tcW w:w="596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Plan 2025. (€)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Times New Roman" w:hAnsi="Times New Roman"/>
          <w:vanish w:val="1"/>
          <w:sz w:val="24"/>
        </w:rPr>
        <w:t xml:space="preserve"> </w:t>
      </w:r>
    </w:p>
    <w:tbl>
      <w:tblPr>
        <w:tblStyle w:val="T0"/>
        <w:tblInd w:w="0" w:type="dxa"/>
        <w:tblLayout w:type="fixed"/>
        <w:tblW w:w="9072" w:type="dxa"/>
      </w:tblPr>
      <w:tblGrid/>
      <w:tr>
        <w:tc>
          <w:tcPr>
            <w:tcW w:w="9059" w:type="dxa"/>
            <w:gridSpan w:val="5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721190 Prihod od prodaje građevinskih objekata</w:t>
            </w:r>
          </w:p>
        </w:tc>
        <w:tc>
          <w:tcPr>
            <w:tcW w:w="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  <w:tr>
        <w:tc>
          <w:tcPr>
            <w:tcW w:w="9059" w:type="dxa"/>
            <w:gridSpan w:val="5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Aktivnost A 100001 ODRŽAVANJE GRAĐEVINSKIH OBJEKATA</w:t>
            </w:r>
          </w:p>
        </w:tc>
        <w:tc>
          <w:tcPr>
            <w:tcW w:w="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  <w:tr>
        <w:tc>
          <w:tcPr>
            <w:tcW w:w="354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IZVOR 711. PRIHOD OD PRODAJE STANOVA NA KOJIMA POSTOJI STANARSKO PRAVO</w:t>
            </w:r>
          </w:p>
        </w:tc>
        <w:tc>
          <w:tcPr>
            <w:tcW w:w="3825" w:type="dxa"/>
            <w:tcBorders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1482" w:type="dxa"/>
            <w:tcBorders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w="9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32347</w:t>
            </w:r>
          </w:p>
        </w:tc>
        <w:tc>
          <w:tcPr>
            <w:tcW w:w="255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Pričuva</w:t>
            </w:r>
          </w:p>
        </w:tc>
        <w:tc>
          <w:tcPr>
            <w:tcW w:w="3825" w:type="dxa"/>
            <w:tcBorders>
              <w:top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1482" w:type="dxa"/>
            <w:tcBorders>
              <w:top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c>
          <w:tcPr>
            <w:tcW w:w="9059" w:type="dxa"/>
            <w:gridSpan w:val="5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Aktivnost A 100001 ZBRINJAVANJE SOCIJALNO UGROŽENIH</w:t>
            </w:r>
          </w:p>
        </w:tc>
        <w:tc>
          <w:tcPr>
            <w:tcW w:w="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  <w:tr>
        <w:tc>
          <w:tcPr>
            <w:tcW w:w="9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372121</w:t>
            </w:r>
          </w:p>
        </w:tc>
        <w:tc>
          <w:tcPr>
            <w:tcW w:w="2550" w:type="dxa"/>
            <w:tcBorders>
              <w:bottom w:val="single" w:sz="24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Pomoć socijalno ugroženima u novcu</w:t>
            </w:r>
          </w:p>
        </w:tc>
        <w:tc>
          <w:tcPr>
            <w:tcW w:w="3825" w:type="dxa"/>
            <w:tcBorders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1482" w:type="dxa"/>
            <w:tcBorders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2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  <w:tr>
        <w:tc>
          <w:tcPr>
            <w:tcW w:w="9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372122</w:t>
            </w:r>
          </w:p>
        </w:tc>
        <w:tc>
          <w:tcPr>
            <w:tcW w:w="255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Jednokratne novčane pomoći Hrvatskim braniteljima</w:t>
            </w:r>
          </w:p>
        </w:tc>
        <w:tc>
          <w:tcPr>
            <w:tcW w:w="3825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1482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  <w:tc>
          <w:tcPr>
            <w:tcW w:w="2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  <w:tr>
        <w:tc>
          <w:tcPr>
            <w:tcW w:w="9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372242</w:t>
            </w:r>
          </w:p>
        </w:tc>
        <w:tc>
          <w:tcPr>
            <w:tcW w:w="255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Prehrana, odjeća i obuća socijalno ugroženima</w:t>
            </w:r>
          </w:p>
        </w:tc>
        <w:tc>
          <w:tcPr>
            <w:tcW w:w="3825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900,00</w:t>
            </w:r>
          </w:p>
        </w:tc>
        <w:tc>
          <w:tcPr>
            <w:tcW w:w="1482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0"/>
              </w:rPr>
            </w:pP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0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 w:val="1"/>
          <w:sz w:val="20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U Proračun se uplaćuju novčana sredstva od prodaje stanova na kojima postoji stanarsko pravo.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Na ime prodaje stanova od ukupno uplaćenih sredstava, 55% doznačuje se u državni Proračun, a 45% polaže se na žiro račun Proračuna općine Hum na Sutli.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Financijska sredstva iz članka 1. Programa korištenja sredstava ostvarenih od prodaje stanova na kojima postoji stanarsko pravo Općine Hum na Sutli za 2025. godinu osiguravaju se u Proračunu Općine Hum na Sutli za 2025. godinu. Sredstva su osigurana u Programu 1004 Izgradnja komunalne infrastrukture i građevinskih objekata i Programu 1010 Socijalna zaštita u razdjelu 001 Opće javne usluge.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4.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Sredstva iz članka 1. ovog Programa namjenski će se utrošiti sukladno zakonskim odredbama u korist rješavanja stambenih pitanja socijalno ugroženih osoba s područja Općine Hum na Sutli.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5.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Ovaj Program objavljuje se u „Službenom glasniku Krapinsko-zagorske županije“.  </w:t>
      </w:r>
      <w:r>
        <w:rPr>
          <w:rFonts w:ascii="Calibri" w:hAnsi="Calibri"/>
          <w:sz w:val="20"/>
        </w:rPr>
        <w:tab/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2552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    PREDSJEDNIK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2024-12-23T08:02:30Z</dcterms:created>
  <dcterms:modified xsi:type="dcterms:W3CDTF">2024-12-23T08:02:30Z</dcterms:modified>
</cp:coreProperties>
</file>