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Calibri" w:hAnsi="Calibri"/>
          <w:b w:val="1"/>
        </w:rPr>
      </w:pPr>
      <w:r>
        <w:rPr>
          <w:rFonts w:ascii="Calibri" w:hAnsi="Calibri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noProof w:val="1"/>
          <w:sz w:val="24"/>
        </w:rPr>
        <w:t>Općina</w:t>
      </w:r>
      <w:r>
        <w:rPr>
          <w:rFonts w:ascii="Calibri" w:hAnsi="Calibri"/>
          <w:b w:val="1"/>
          <w:noProof w:val="1"/>
          <w:sz w:val="24"/>
        </w:rPr>
        <w:t xml:space="preserve"> </w:t>
      </w:r>
      <w:r>
        <w:rPr>
          <w:rFonts w:ascii="Calibri" w:hAnsi="Calibri"/>
          <w:b w:val="1"/>
          <w:noProof w:val="1"/>
          <w:sz w:val="24"/>
        </w:rPr>
        <w:t>Hum</w:t>
      </w:r>
      <w:r>
        <w:rPr>
          <w:rFonts w:ascii="Calibri" w:hAnsi="Calibri"/>
          <w:b w:val="1"/>
          <w:noProof w:val="1"/>
          <w:sz w:val="24"/>
        </w:rPr>
        <w:t xml:space="preserve"> </w:t>
      </w:r>
      <w:r>
        <w:rPr>
          <w:rFonts w:ascii="Calibri" w:hAnsi="Calibri"/>
          <w:b w:val="1"/>
          <w:noProof w:val="1"/>
          <w:sz w:val="24"/>
        </w:rPr>
        <w:t>na</w:t>
      </w:r>
      <w:r>
        <w:rPr>
          <w:rFonts w:ascii="Calibri" w:hAnsi="Calibri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4"/>
        </w:rPr>
      </w:pPr>
      <w:r>
        <w:rPr>
          <w:rFonts w:ascii="Calibri" w:hAnsi="Calibri"/>
          <w:b w:val="1"/>
          <w:noProof w:val="1"/>
          <w:color w:val="000000"/>
          <w:sz w:val="24"/>
        </w:rPr>
        <w:t>Općinsko</w:t>
      </w:r>
      <w:r>
        <w:rPr>
          <w:rFonts w:ascii="Calibri" w:hAnsi="Calibri"/>
          <w:b w:val="1"/>
          <w:noProof w:val="1"/>
          <w:color w:val="000000"/>
          <w:sz w:val="24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KLASA: </w:t>
      </w:r>
      <w:r>
        <w:rPr>
          <w:rFonts w:ascii="Calibri" w:hAnsi="Calibri"/>
          <w:sz w:val="24"/>
        </w:rPr>
        <w:t>230-03/24-01/1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URBROJ: </w:t>
      </w:r>
      <w:r>
        <w:rPr>
          <w:rFonts w:ascii="Calibri" w:hAnsi="Calibri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4"/>
        </w:rPr>
      </w:pPr>
      <w:r>
        <w:rPr>
          <w:rFonts w:ascii="Calibri" w:hAnsi="Calibri"/>
          <w:noProof w:val="1"/>
          <w:sz w:val="24"/>
        </w:rPr>
        <w:t>Hum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na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Sutli</w:t>
      </w:r>
      <w:r>
        <w:rPr>
          <w:rFonts w:ascii="Calibri" w:hAnsi="Calibri"/>
          <w:sz w:val="24"/>
        </w:rPr>
        <w:t xml:space="preserve">, 16</w:t>
      </w:r>
      <w:r>
        <w:rPr>
          <w:rFonts w:ascii="Calibri" w:hAnsi="Calibri"/>
          <w:noProof w:val="1"/>
          <w:sz w:val="24"/>
        </w:rPr>
        <w:t>.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prosinca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2"/>
        </w:rPr>
        <w:t xml:space="preserve">Na temelju članka 20. Zakona o savjetima mladih (« Narodne novine « broj 41/14)  i 15. Statuta općine Hum na Sutli («Službeni glasnik Krapinsko-zagorske županije» br. 9/21) općinsko vijeće Općine Hum na Sutli na sjednici održanoj 16. prosinca 2024. godine donijelo je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 xml:space="preserve">Z A K L  J U Č A K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Prihvaća se Program rada  sa financijskim planom za 2025. godinu Savjeta mladih Općine Hum na Sutli. 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566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 w:val="1"/>
          <w:sz w:val="22"/>
        </w:rPr>
        <w:t xml:space="preserve">PREDSJEDNIK </w:t>
      </w:r>
      <w:r>
        <w:rPr>
          <w:rFonts w:ascii="Calibri" w:hAnsi="Calibri"/>
          <w:b w:val="1"/>
          <w:sz w:val="22"/>
        </w:rPr>
        <w:t xml:space="preserve">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jc w:val="both"/>
        <w:spacing w:lineRule="auto" w:line="240" w:beforeAutospacing="0" w:afterAutospacing="0"/>
        <w:ind w:left="354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SAVJET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MLADIH OPĆINE HUM NA SUTLI , Hum na Sutli 175, HUM NA SUTLI, 49231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2024-12-23T08:06:52Z</dcterms:created>
  <dcterms:modified xsi:type="dcterms:W3CDTF">2024-12-23T08:06:52Z</dcterms:modified>
</cp:coreProperties>
</file>